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aps/>
          <w:sz w:val="24"/>
          <w:szCs w:val="20"/>
          <w:lang w:val="da-DK" w:eastAsia="da-DK"/>
        </w:rPr>
        <w:id w:val="527412299"/>
        <w:docPartObj>
          <w:docPartGallery w:val="Cover Pages"/>
          <w:docPartUnique/>
        </w:docPartObj>
      </w:sdtPr>
      <w:sdtEndPr>
        <w:rPr>
          <w:rFonts w:ascii="Times New Roman" w:eastAsia="Times New Roman" w:hAnsi="Times New Roman" w:cs="Times New Roman"/>
          <w:caps w:val="0"/>
        </w:rPr>
      </w:sdtEndPr>
      <w:sdtContent>
        <w:tbl>
          <w:tblPr>
            <w:tblW w:w="4469" w:type="pct"/>
            <w:jc w:val="center"/>
            <w:tblLook w:val="04A0" w:firstRow="1" w:lastRow="0" w:firstColumn="1" w:lastColumn="0" w:noHBand="0" w:noVBand="1"/>
          </w:tblPr>
          <w:tblGrid>
            <w:gridCol w:w="8311"/>
          </w:tblGrid>
          <w:tr w:rsidR="00341EA6" w:rsidRPr="00097534" w14:paraId="7F5B3DE3" w14:textId="77777777" w:rsidTr="00EC00FF">
            <w:trPr>
              <w:trHeight w:val="2880"/>
              <w:jc w:val="center"/>
            </w:trPr>
            <w:tc>
              <w:tcPr>
                <w:tcW w:w="5000" w:type="pct"/>
              </w:tcPr>
              <w:p w14:paraId="1DD7EAE6" w14:textId="77777777" w:rsidR="00341EA6" w:rsidRDefault="00341EA6" w:rsidP="00341EA6">
                <w:pPr>
                  <w:pStyle w:val="Ingenafstand"/>
                  <w:jc w:val="center"/>
                  <w:rPr>
                    <w:rFonts w:asciiTheme="majorHAnsi" w:eastAsiaTheme="majorEastAsia" w:hAnsiTheme="majorHAnsi" w:cstheme="majorBidi"/>
                    <w:caps/>
                  </w:rPr>
                </w:pPr>
              </w:p>
            </w:tc>
          </w:tr>
          <w:tr w:rsidR="00341EA6" w:rsidRPr="005D1CE2" w14:paraId="5184E1A1" w14:textId="77777777" w:rsidTr="00EC00FF">
            <w:trPr>
              <w:trHeight w:val="1440"/>
              <w:jc w:val="center"/>
            </w:trPr>
            <w:sdt>
              <w:sdtPr>
                <w:rPr>
                  <w:rFonts w:asciiTheme="majorHAnsi" w:eastAsiaTheme="majorEastAsia" w:hAnsiTheme="majorHAnsi" w:cstheme="majorBidi"/>
                  <w:sz w:val="64"/>
                  <w:szCs w:val="6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A62207A" w14:textId="77777777" w:rsidR="00341EA6" w:rsidRPr="00341EA6" w:rsidRDefault="00066B5D" w:rsidP="005D1CE2">
                    <w:pPr>
                      <w:pStyle w:val="Ingenafstand"/>
                      <w:jc w:val="center"/>
                      <w:rPr>
                        <w:rFonts w:asciiTheme="majorHAnsi" w:eastAsiaTheme="majorEastAsia" w:hAnsiTheme="majorHAnsi" w:cstheme="majorBidi"/>
                        <w:sz w:val="64"/>
                        <w:szCs w:val="64"/>
                      </w:rPr>
                    </w:pPr>
                    <w:r w:rsidRPr="00341EA6">
                      <w:rPr>
                        <w:rFonts w:asciiTheme="majorHAnsi" w:eastAsiaTheme="majorEastAsia" w:hAnsiTheme="majorHAnsi" w:cstheme="majorBidi"/>
                        <w:sz w:val="64"/>
                        <w:szCs w:val="64"/>
                      </w:rPr>
                      <w:t>CITES</w:t>
                    </w:r>
                    <w:r>
                      <w:rPr>
                        <w:rFonts w:asciiTheme="majorHAnsi" w:eastAsiaTheme="majorEastAsia" w:hAnsiTheme="majorHAnsi" w:cstheme="majorBidi"/>
                        <w:sz w:val="64"/>
                        <w:szCs w:val="64"/>
                      </w:rPr>
                      <w:t xml:space="preserve"> </w:t>
                    </w:r>
                    <w:r w:rsidRPr="00341EA6">
                      <w:rPr>
                        <w:rFonts w:asciiTheme="majorHAnsi" w:eastAsiaTheme="majorEastAsia" w:hAnsiTheme="majorHAnsi" w:cstheme="majorBidi"/>
                        <w:sz w:val="64"/>
                        <w:szCs w:val="64"/>
                      </w:rPr>
                      <w:t>non detriment findings</w:t>
                    </w:r>
                  </w:p>
                </w:tc>
              </w:sdtContent>
            </w:sdt>
          </w:tr>
          <w:tr w:rsidR="00341EA6" w:rsidRPr="00CC4EF3" w14:paraId="6F85FE24" w14:textId="77777777" w:rsidTr="00EC00FF">
            <w:trPr>
              <w:trHeight w:val="720"/>
              <w:jc w:val="center"/>
            </w:trPr>
            <w:sdt>
              <w:sdtPr>
                <w:rPr>
                  <w:rFonts w:asciiTheme="majorHAnsi" w:eastAsiaTheme="majorEastAsia" w:hAnsiTheme="majorHAnsi" w:cstheme="majorBidi"/>
                  <w:sz w:val="44"/>
                  <w:szCs w:val="44"/>
                  <w:lang w:val="da-DK"/>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1D0BA3F" w14:textId="77777777" w:rsidR="00341EA6" w:rsidRPr="00CC4EF3" w:rsidRDefault="00341EA6" w:rsidP="00297CE3">
                    <w:pPr>
                      <w:pStyle w:val="Ingenafstand"/>
                      <w:jc w:val="center"/>
                      <w:rPr>
                        <w:rFonts w:asciiTheme="majorHAnsi" w:eastAsiaTheme="majorEastAsia" w:hAnsiTheme="majorHAnsi" w:cstheme="majorBidi"/>
                        <w:sz w:val="44"/>
                        <w:szCs w:val="44"/>
                        <w:lang w:val="da-DK"/>
                      </w:rPr>
                    </w:pPr>
                    <w:r w:rsidRPr="00CC4EF3">
                      <w:rPr>
                        <w:rFonts w:asciiTheme="majorHAnsi" w:eastAsiaTheme="majorEastAsia" w:hAnsiTheme="majorHAnsi" w:cstheme="majorBidi"/>
                        <w:sz w:val="44"/>
                        <w:szCs w:val="44"/>
                        <w:lang w:val="da-DK"/>
                      </w:rPr>
                      <w:t xml:space="preserve">for </w:t>
                    </w:r>
                    <w:r w:rsidR="00297CE3">
                      <w:rPr>
                        <w:rFonts w:asciiTheme="majorHAnsi" w:eastAsiaTheme="majorEastAsia" w:hAnsiTheme="majorHAnsi" w:cstheme="majorBidi"/>
                        <w:sz w:val="44"/>
                        <w:szCs w:val="44"/>
                        <w:lang w:val="da-DK"/>
                      </w:rPr>
                      <w:t xml:space="preserve">havpattedyr </w:t>
                    </w:r>
                    <w:r w:rsidRPr="00CC4EF3">
                      <w:rPr>
                        <w:rFonts w:asciiTheme="majorHAnsi" w:eastAsiaTheme="majorEastAsia" w:hAnsiTheme="majorHAnsi" w:cstheme="majorBidi"/>
                        <w:sz w:val="44"/>
                        <w:szCs w:val="44"/>
                        <w:lang w:val="da-DK"/>
                      </w:rPr>
                      <w:t>i Gr</w:t>
                    </w:r>
                    <w:r w:rsidR="00CC4EF3">
                      <w:rPr>
                        <w:rFonts w:asciiTheme="majorHAnsi" w:eastAsiaTheme="majorEastAsia" w:hAnsiTheme="majorHAnsi" w:cstheme="majorBidi"/>
                        <w:sz w:val="44"/>
                        <w:szCs w:val="44"/>
                        <w:lang w:val="da-DK"/>
                      </w:rPr>
                      <w:t>øn</w:t>
                    </w:r>
                    <w:r w:rsidRPr="00CC4EF3">
                      <w:rPr>
                        <w:rFonts w:asciiTheme="majorHAnsi" w:eastAsiaTheme="majorEastAsia" w:hAnsiTheme="majorHAnsi" w:cstheme="majorBidi"/>
                        <w:sz w:val="44"/>
                        <w:szCs w:val="44"/>
                        <w:lang w:val="da-DK"/>
                      </w:rPr>
                      <w:t>land 201</w:t>
                    </w:r>
                    <w:r w:rsidR="00CE5F8A">
                      <w:rPr>
                        <w:rFonts w:asciiTheme="majorHAnsi" w:eastAsiaTheme="majorEastAsia" w:hAnsiTheme="majorHAnsi" w:cstheme="majorBidi"/>
                        <w:sz w:val="44"/>
                        <w:szCs w:val="44"/>
                        <w:lang w:val="da-DK"/>
                      </w:rPr>
                      <w:t>7</w:t>
                    </w:r>
                  </w:p>
                </w:tc>
              </w:sdtContent>
            </w:sdt>
          </w:tr>
          <w:tr w:rsidR="00341EA6" w:rsidRPr="00CC4EF3" w14:paraId="29598819" w14:textId="77777777" w:rsidTr="00EC00FF">
            <w:trPr>
              <w:trHeight w:val="360"/>
              <w:jc w:val="center"/>
            </w:trPr>
            <w:tc>
              <w:tcPr>
                <w:tcW w:w="5000" w:type="pct"/>
                <w:vAlign w:val="center"/>
              </w:tcPr>
              <w:p w14:paraId="0273A3A4" w14:textId="77777777" w:rsidR="00341EA6" w:rsidRPr="00CC4EF3" w:rsidRDefault="00341EA6" w:rsidP="00341EA6">
                <w:pPr>
                  <w:pStyle w:val="Ingenafstand"/>
                  <w:jc w:val="center"/>
                  <w:rPr>
                    <w:lang w:val="da-DK"/>
                  </w:rPr>
                </w:pPr>
              </w:p>
            </w:tc>
          </w:tr>
          <w:tr w:rsidR="00341EA6" w:rsidRPr="00CC4EF3" w14:paraId="6A766037" w14:textId="77777777" w:rsidTr="00EC00FF">
            <w:trPr>
              <w:trHeight w:val="360"/>
              <w:jc w:val="center"/>
            </w:trPr>
            <w:tc>
              <w:tcPr>
                <w:tcW w:w="5000" w:type="pct"/>
                <w:vAlign w:val="center"/>
              </w:tcPr>
              <w:p w14:paraId="6AC6DF6E" w14:textId="77777777" w:rsidR="00341EA6" w:rsidRPr="00CC4EF3" w:rsidRDefault="00341EA6" w:rsidP="00341EA6">
                <w:pPr>
                  <w:pStyle w:val="Ingenafstand"/>
                  <w:jc w:val="center"/>
                  <w:rPr>
                    <w:b/>
                    <w:bCs/>
                    <w:lang w:val="da-DK"/>
                  </w:rPr>
                </w:pPr>
              </w:p>
            </w:tc>
          </w:tr>
          <w:tr w:rsidR="00341EA6" w:rsidRPr="00CC4EF3" w14:paraId="338351C0" w14:textId="77777777" w:rsidTr="00EC00FF">
            <w:trPr>
              <w:trHeight w:val="360"/>
              <w:jc w:val="center"/>
            </w:trPr>
            <w:tc>
              <w:tcPr>
                <w:tcW w:w="5000" w:type="pct"/>
                <w:vAlign w:val="center"/>
              </w:tcPr>
              <w:p w14:paraId="5A56157D" w14:textId="77777777" w:rsidR="00341EA6" w:rsidRPr="00CC4EF3" w:rsidRDefault="00341EA6">
                <w:pPr>
                  <w:pStyle w:val="Ingenafstand"/>
                  <w:jc w:val="center"/>
                  <w:rPr>
                    <w:b/>
                    <w:bCs/>
                    <w:lang w:val="da-DK"/>
                  </w:rPr>
                </w:pPr>
              </w:p>
            </w:tc>
          </w:tr>
        </w:tbl>
        <w:p w14:paraId="4FE3F775" w14:textId="77777777" w:rsidR="00341EA6" w:rsidRPr="00CC4EF3" w:rsidRDefault="00341EA6"/>
        <w:p w14:paraId="779932FE" w14:textId="77777777" w:rsidR="00341EA6" w:rsidRPr="00CC4EF3" w:rsidRDefault="00341EA6"/>
        <w:p w14:paraId="4B464544" w14:textId="77777777" w:rsidR="00341EA6" w:rsidRPr="00CC4EF3" w:rsidRDefault="00341EA6"/>
        <w:p w14:paraId="61DC1971" w14:textId="77777777" w:rsidR="00341EA6" w:rsidRPr="00341EA6" w:rsidRDefault="00D4742F">
          <w:pPr>
            <w:spacing w:after="200" w:line="276" w:lineRule="auto"/>
            <w:rPr>
              <w:lang w:val="en-GB"/>
            </w:rPr>
          </w:pPr>
        </w:p>
      </w:sdtContent>
    </w:sdt>
    <w:p w14:paraId="53C8F8CA" w14:textId="77777777" w:rsidR="00341EA6" w:rsidRDefault="00341EA6" w:rsidP="00341EA6">
      <w:pPr>
        <w:jc w:val="center"/>
      </w:pPr>
    </w:p>
    <w:p w14:paraId="5FFD3712" w14:textId="77777777" w:rsidR="00341EA6" w:rsidRDefault="00341EA6" w:rsidP="00341EA6">
      <w:pPr>
        <w:jc w:val="center"/>
      </w:pPr>
    </w:p>
    <w:p w14:paraId="103697A4" w14:textId="77777777" w:rsidR="00341EA6" w:rsidRDefault="00341EA6" w:rsidP="00341EA6">
      <w:pPr>
        <w:jc w:val="center"/>
      </w:pPr>
    </w:p>
    <w:p w14:paraId="196429D9" w14:textId="77777777" w:rsidR="00341EA6" w:rsidRDefault="00341EA6" w:rsidP="00341EA6">
      <w:pPr>
        <w:jc w:val="center"/>
      </w:pPr>
    </w:p>
    <w:p w14:paraId="32A6374F" w14:textId="77777777" w:rsidR="00341EA6" w:rsidRDefault="00341EA6" w:rsidP="00341EA6">
      <w:pPr>
        <w:jc w:val="center"/>
      </w:pPr>
    </w:p>
    <w:p w14:paraId="2DA4A47F" w14:textId="77777777" w:rsidR="00341EA6" w:rsidRDefault="00341EA6" w:rsidP="00341EA6">
      <w:pPr>
        <w:jc w:val="center"/>
      </w:pPr>
    </w:p>
    <w:p w14:paraId="20476AF7" w14:textId="77777777" w:rsidR="00341EA6" w:rsidRDefault="00341EA6" w:rsidP="00341EA6">
      <w:pPr>
        <w:jc w:val="center"/>
      </w:pPr>
    </w:p>
    <w:p w14:paraId="6EDF3C80" w14:textId="77777777" w:rsidR="00341EA6" w:rsidRDefault="00341EA6" w:rsidP="00341EA6">
      <w:pPr>
        <w:jc w:val="center"/>
      </w:pPr>
    </w:p>
    <w:p w14:paraId="0520F23D" w14:textId="77777777" w:rsidR="00341EA6" w:rsidRDefault="00341EA6" w:rsidP="00341EA6">
      <w:pPr>
        <w:jc w:val="center"/>
      </w:pPr>
    </w:p>
    <w:p w14:paraId="5BF9CBD3" w14:textId="77777777" w:rsidR="00341EA6" w:rsidRDefault="00341EA6" w:rsidP="00341EA6">
      <w:pPr>
        <w:jc w:val="center"/>
      </w:pPr>
    </w:p>
    <w:p w14:paraId="190D4A4D" w14:textId="77777777" w:rsidR="00341EA6" w:rsidRDefault="00341EA6" w:rsidP="00341EA6">
      <w:pPr>
        <w:jc w:val="center"/>
      </w:pPr>
    </w:p>
    <w:p w14:paraId="2DE82DFC" w14:textId="77777777" w:rsidR="00341EA6" w:rsidRDefault="00341EA6" w:rsidP="00341EA6">
      <w:pPr>
        <w:jc w:val="center"/>
      </w:pPr>
    </w:p>
    <w:p w14:paraId="3F38F75C" w14:textId="77777777" w:rsidR="00341EA6" w:rsidRDefault="00341EA6" w:rsidP="00341EA6">
      <w:pPr>
        <w:jc w:val="center"/>
      </w:pPr>
    </w:p>
    <w:p w14:paraId="077663F6" w14:textId="77777777" w:rsidR="00341EA6" w:rsidRPr="00E67410" w:rsidRDefault="00341EA6" w:rsidP="00341EA6">
      <w:pPr>
        <w:spacing w:line="288" w:lineRule="auto"/>
        <w:jc w:val="center"/>
        <w:rPr>
          <w:rFonts w:ascii="Tahoma" w:hAnsi="Tahoma"/>
          <w:b/>
          <w:lang w:val="en-GB"/>
        </w:rPr>
      </w:pPr>
      <w:r>
        <w:rPr>
          <w:noProof/>
          <w:color w:val="FFFFFF"/>
          <w:lang w:val="en-US" w:eastAsia="en-US"/>
        </w:rPr>
        <w:drawing>
          <wp:anchor distT="0" distB="0" distL="114300" distR="114300" simplePos="0" relativeHeight="251660288" behindDoc="1" locked="0" layoutInCell="1" allowOverlap="1" wp14:anchorId="6A31957A" wp14:editId="0B406BD9">
            <wp:simplePos x="0" y="0"/>
            <wp:positionH relativeFrom="column">
              <wp:posOffset>2787015</wp:posOffset>
            </wp:positionH>
            <wp:positionV relativeFrom="paragraph">
              <wp:posOffset>124460</wp:posOffset>
            </wp:positionV>
            <wp:extent cx="582930" cy="504825"/>
            <wp:effectExtent l="0" t="0" r="7620" b="0"/>
            <wp:wrapTight wrapText="bothSides">
              <wp:wrapPolygon edited="0">
                <wp:start x="4941" y="0"/>
                <wp:lineTo x="706" y="3260"/>
                <wp:lineTo x="706" y="9781"/>
                <wp:lineTo x="4235" y="13042"/>
                <wp:lineTo x="0" y="13857"/>
                <wp:lineTo x="3529" y="20377"/>
                <wp:lineTo x="17647" y="20377"/>
                <wp:lineTo x="20471" y="15487"/>
                <wp:lineTo x="20471" y="13042"/>
                <wp:lineTo x="21882" y="11411"/>
                <wp:lineTo x="21176" y="815"/>
                <wp:lineTo x="10588" y="0"/>
                <wp:lineTo x="4941" y="0"/>
              </wp:wrapPolygon>
            </wp:wrapTight>
            <wp:docPr id="2" name="Picture 2" descr="G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logo"/>
                    <pic:cNvPicPr>
                      <a:picLocks noChangeAspect="1" noChangeArrowheads="1"/>
                    </pic:cNvPicPr>
                  </pic:nvPicPr>
                  <pic:blipFill>
                    <a:blip r:embed="rId8" cstate="print"/>
                    <a:srcRect/>
                    <a:stretch>
                      <a:fillRect/>
                    </a:stretch>
                  </pic:blipFill>
                  <pic:spPr bwMode="auto">
                    <a:xfrm>
                      <a:off x="0" y="0"/>
                      <a:ext cx="582930" cy="504825"/>
                    </a:xfrm>
                    <a:prstGeom prst="rect">
                      <a:avLst/>
                    </a:prstGeom>
                    <a:noFill/>
                    <a:ln w="9525">
                      <a:noFill/>
                      <a:miter lim="800000"/>
                      <a:headEnd/>
                      <a:tailEnd/>
                    </a:ln>
                  </pic:spPr>
                </pic:pic>
              </a:graphicData>
            </a:graphic>
          </wp:anchor>
        </w:drawing>
      </w:r>
    </w:p>
    <w:p w14:paraId="63E5782E" w14:textId="77777777" w:rsidR="00341EA6" w:rsidRPr="00E67410" w:rsidRDefault="00341EA6" w:rsidP="00341EA6">
      <w:pPr>
        <w:spacing w:line="288" w:lineRule="auto"/>
        <w:jc w:val="center"/>
        <w:rPr>
          <w:rFonts w:ascii="Tahoma" w:hAnsi="Tahoma"/>
          <w:b/>
          <w:lang w:val="en-GB"/>
        </w:rPr>
      </w:pPr>
    </w:p>
    <w:p w14:paraId="7540762B" w14:textId="77777777" w:rsidR="00341EA6" w:rsidRPr="00E67410" w:rsidRDefault="00341EA6" w:rsidP="00341EA6">
      <w:pPr>
        <w:spacing w:line="288" w:lineRule="auto"/>
        <w:jc w:val="center"/>
        <w:rPr>
          <w:rFonts w:ascii="Tahoma" w:hAnsi="Tahoma"/>
          <w:b/>
          <w:lang w:val="en-GB"/>
        </w:rPr>
      </w:pPr>
    </w:p>
    <w:p w14:paraId="45023A52" w14:textId="77777777" w:rsidR="00341EA6" w:rsidRPr="00E67410" w:rsidRDefault="00341EA6" w:rsidP="00341EA6">
      <w:pPr>
        <w:spacing w:line="288" w:lineRule="auto"/>
        <w:jc w:val="center"/>
        <w:rPr>
          <w:rFonts w:ascii="Tahoma" w:hAnsi="Tahoma"/>
          <w:b/>
          <w:lang w:val="en-CA"/>
        </w:rPr>
      </w:pPr>
    </w:p>
    <w:p w14:paraId="01842872" w14:textId="77777777" w:rsidR="00341EA6" w:rsidRPr="00E67410" w:rsidRDefault="00341EA6" w:rsidP="00341EA6">
      <w:pPr>
        <w:spacing w:line="288" w:lineRule="auto"/>
        <w:jc w:val="center"/>
        <w:rPr>
          <w:rFonts w:ascii="Tahoma" w:hAnsi="Tahoma"/>
          <w:b/>
          <w:sz w:val="20"/>
          <w:lang w:val="en-CA"/>
        </w:rPr>
      </w:pPr>
      <w:r w:rsidRPr="00E67410">
        <w:rPr>
          <w:rFonts w:ascii="Tahoma" w:hAnsi="Tahoma"/>
          <w:b/>
          <w:sz w:val="20"/>
          <w:lang w:val="en-CA"/>
        </w:rPr>
        <w:t>Greenland Institute of Natural Resources</w:t>
      </w:r>
      <w:r w:rsidR="004D7491" w:rsidRPr="00E67410">
        <w:rPr>
          <w:rFonts w:ascii="Tahoma" w:hAnsi="Tahoma"/>
          <w:b/>
          <w:sz w:val="20"/>
          <w:lang w:val="en-CA"/>
        </w:rPr>
        <w:t>,</w:t>
      </w:r>
    </w:p>
    <w:p w14:paraId="461049EC" w14:textId="77777777" w:rsidR="00EC00FF" w:rsidRPr="00E67410" w:rsidRDefault="00C255F4" w:rsidP="00341EA6">
      <w:pPr>
        <w:spacing w:line="288" w:lineRule="auto"/>
        <w:jc w:val="center"/>
        <w:rPr>
          <w:rFonts w:ascii="Tahoma" w:hAnsi="Tahoma"/>
          <w:b/>
          <w:sz w:val="20"/>
        </w:rPr>
      </w:pPr>
      <w:r w:rsidRPr="00E67410">
        <w:rPr>
          <w:rFonts w:ascii="Tahoma" w:hAnsi="Tahoma"/>
          <w:b/>
          <w:sz w:val="20"/>
        </w:rPr>
        <w:t>CITES Scientific Authority in Greenland</w:t>
      </w:r>
    </w:p>
    <w:p w14:paraId="79F0B886" w14:textId="77777777" w:rsidR="00CE5F8A" w:rsidRDefault="00EC00FF" w:rsidP="00EC00FF">
      <w:pPr>
        <w:pStyle w:val="Titel"/>
      </w:pPr>
      <w:r w:rsidRPr="00E67410">
        <w:rPr>
          <w:rFonts w:ascii="Tahoma" w:hAnsi="Tahoma"/>
          <w:b/>
          <w:sz w:val="20"/>
        </w:rPr>
        <w:br w:type="page"/>
      </w:r>
      <w:r w:rsidRPr="00EC00FF">
        <w:lastRenderedPageBreak/>
        <w:t xml:space="preserve">Vurdering </w:t>
      </w:r>
      <w:r>
        <w:t>af b</w:t>
      </w:r>
      <w:r w:rsidRPr="00EC00FF">
        <w:t>æredygtig</w:t>
      </w:r>
      <w:r>
        <w:t xml:space="preserve"> </w:t>
      </w:r>
      <w:r w:rsidRPr="00EC00FF">
        <w:t>e</w:t>
      </w:r>
      <w:r>
        <w:t>ks</w:t>
      </w:r>
      <w:r w:rsidRPr="00EC00FF">
        <w:t xml:space="preserve">port </w:t>
      </w:r>
      <w:r>
        <w:t>for</w:t>
      </w:r>
    </w:p>
    <w:p w14:paraId="22E3F786" w14:textId="77777777" w:rsidR="00341EA6" w:rsidRDefault="00EC00FF" w:rsidP="00EC00FF">
      <w:pPr>
        <w:pStyle w:val="Titel"/>
      </w:pPr>
      <w:r w:rsidRPr="00EC00FF">
        <w:t xml:space="preserve">CITES </w:t>
      </w:r>
      <w:r>
        <w:t xml:space="preserve">liste </w:t>
      </w:r>
      <w:r w:rsidRPr="00EC00FF">
        <w:t xml:space="preserve">II arter </w:t>
      </w:r>
      <w:r>
        <w:t>fra</w:t>
      </w:r>
      <w:r w:rsidRPr="00EC00FF">
        <w:t xml:space="preserve"> Grønland</w:t>
      </w:r>
      <w:r>
        <w:t>, 201</w:t>
      </w:r>
      <w:r w:rsidR="00CE5F8A">
        <w:t>7</w:t>
      </w:r>
    </w:p>
    <w:p w14:paraId="4EAEC307" w14:textId="77777777" w:rsidR="008D34B5" w:rsidRDefault="008D34B5" w:rsidP="001D0989">
      <w:pPr>
        <w:pStyle w:val="Overskrift1"/>
      </w:pPr>
    </w:p>
    <w:p w14:paraId="1E9B997D" w14:textId="0E903E32" w:rsidR="00475036" w:rsidRDefault="00475036" w:rsidP="001D0989">
      <w:pPr>
        <w:pStyle w:val="Overskrift1"/>
      </w:pPr>
      <w:r>
        <w:t>Indledning</w:t>
      </w:r>
    </w:p>
    <w:p w14:paraId="525C00AA" w14:textId="77777777" w:rsidR="00475036" w:rsidRDefault="00475036" w:rsidP="00475036"/>
    <w:p w14:paraId="2E9252B3" w14:textId="0B24C730" w:rsidR="00475036" w:rsidRDefault="00475036" w:rsidP="00475036">
      <w:r>
        <w:t>Grønland er omfattet af CITES (Convention on International Trade in Endagered Species) også kendt som ”Washington konventionen”, og er herigennem forpligtet til at overholde CITES regler for eksport af produkter fra truede dyr</w:t>
      </w:r>
      <w:r w:rsidR="008378CF">
        <w:t>. Disse er</w:t>
      </w:r>
      <w:r>
        <w:t xml:space="preserve"> listet på 3 for</w:t>
      </w:r>
      <w:r w:rsidR="00976642">
        <w:t>skellige lister</w:t>
      </w:r>
      <w:r w:rsidR="00E542A2">
        <w:t>,</w:t>
      </w:r>
      <w:r w:rsidR="008378CF">
        <w:t xml:space="preserve"> der angiver hvor truet en art er af handel, og hvilke krav til tilladelser der er i forbindelse med eksport og import. </w:t>
      </w:r>
    </w:p>
    <w:p w14:paraId="3E7B67CE" w14:textId="77777777" w:rsidR="00475036" w:rsidRDefault="00475036" w:rsidP="00475036"/>
    <w:p w14:paraId="1F4A2E51" w14:textId="1CFA3490" w:rsidR="00475036" w:rsidRDefault="00976642" w:rsidP="00475036">
      <w:r>
        <w:t>Liste</w:t>
      </w:r>
      <w:r w:rsidR="00475036">
        <w:t xml:space="preserve"> 1: </w:t>
      </w:r>
      <w:r w:rsidR="00E542A2">
        <w:t>CITES vurderer at d</w:t>
      </w:r>
      <w:r w:rsidR="008378CF">
        <w:t>isse a</w:t>
      </w:r>
      <w:r w:rsidR="00475036">
        <w:t xml:space="preserve">rter </w:t>
      </w:r>
      <w:r w:rsidR="00E542A2">
        <w:t xml:space="preserve">er </w:t>
      </w:r>
      <w:r w:rsidR="00475036">
        <w:t>truet af udryddelse</w:t>
      </w:r>
      <w:r w:rsidR="00E542A2">
        <w:t>,</w:t>
      </w:r>
      <w:r w:rsidR="008378CF">
        <w:t xml:space="preserve"> og </w:t>
      </w:r>
      <w:r w:rsidR="00E542A2">
        <w:t xml:space="preserve">de </w:t>
      </w:r>
      <w:r w:rsidR="008378CF">
        <w:t xml:space="preserve">må </w:t>
      </w:r>
      <w:r w:rsidR="00E542A2">
        <w:t xml:space="preserve">derfor </w:t>
      </w:r>
      <w:r w:rsidR="008378CF">
        <w:t>ikke eksporteres eller importeres.</w:t>
      </w:r>
      <w:r w:rsidR="00E542A2">
        <w:t xml:space="preserve"> For havpattedyr i Grønland, inkluderer liste 1 alle storhvaler, med undtagelse af vågehval i Vestgrønland.</w:t>
      </w:r>
    </w:p>
    <w:p w14:paraId="19F78FAE" w14:textId="77777777" w:rsidR="00E542A2" w:rsidRDefault="00E542A2" w:rsidP="00E542A2"/>
    <w:p w14:paraId="64643060" w14:textId="45BF2DA9" w:rsidR="00E542A2" w:rsidRDefault="00976642" w:rsidP="00E542A2">
      <w:r>
        <w:t>Liste</w:t>
      </w:r>
      <w:r w:rsidR="00475036">
        <w:t xml:space="preserve"> 2: </w:t>
      </w:r>
      <w:r w:rsidR="00E542A2">
        <w:t>Truede a</w:t>
      </w:r>
      <w:r w:rsidR="00475036">
        <w:t xml:space="preserve">rter </w:t>
      </w:r>
      <w:r w:rsidR="00E542A2">
        <w:t xml:space="preserve">der skal følges nøje, og </w:t>
      </w:r>
      <w:r w:rsidR="00475036">
        <w:t xml:space="preserve">hvor </w:t>
      </w:r>
      <w:r w:rsidR="00E542A2">
        <w:t xml:space="preserve">international </w:t>
      </w:r>
      <w:r w:rsidR="00475036">
        <w:t>handel skal kontrolleres</w:t>
      </w:r>
      <w:r w:rsidR="00E542A2">
        <w:t>. Produkter fra disse arter kan eksporteres og importeres, hvis der foreligger en såkaldt NDF (Non Detriment Finding). Denne angiver, at det vurderes, at en eksport ikke vil skade bestanden. Grønlandske arter på liste 2 inkluderer vågehvaler i Vestgrønland, alle småhvaler og isbjørn.</w:t>
      </w:r>
    </w:p>
    <w:p w14:paraId="7BDFA327" w14:textId="2E9972BE" w:rsidR="00475036" w:rsidRDefault="00475036" w:rsidP="00475036"/>
    <w:p w14:paraId="4D83052E" w14:textId="524792D2" w:rsidR="00784D57" w:rsidRDefault="00976642" w:rsidP="00475036">
      <w:r>
        <w:t>Liste</w:t>
      </w:r>
      <w:r w:rsidR="00475036">
        <w:t xml:space="preserve"> 3: </w:t>
      </w:r>
      <w:r w:rsidR="00AD6D1A">
        <w:t>Mindre truede a</w:t>
      </w:r>
      <w:r w:rsidR="00475036">
        <w:t xml:space="preserve">rter hvor </w:t>
      </w:r>
      <w:r w:rsidR="00AD6D1A">
        <w:t xml:space="preserve">international </w:t>
      </w:r>
      <w:r w:rsidR="00475036">
        <w:t>handel skal kontrolleres, hv</w:t>
      </w:r>
      <w:r w:rsidR="00784D57">
        <w:t>is det kræves af et medlemsland</w:t>
      </w:r>
      <w:r w:rsidR="00AD6D1A">
        <w:t>. Arter på denne liste kan normalt eksporteres og importeres uden en NDF, og for havpattedyr i Grønland er hvalros på liste 3.</w:t>
      </w:r>
    </w:p>
    <w:p w14:paraId="366A92D9" w14:textId="77777777" w:rsidR="00784D57" w:rsidRDefault="00784D57" w:rsidP="00475036"/>
    <w:p w14:paraId="28AFA3D0" w14:textId="77777777" w:rsidR="00475036" w:rsidRDefault="00475036" w:rsidP="00475036"/>
    <w:p w14:paraId="752C3B0D" w14:textId="77777777" w:rsidR="00475036" w:rsidRDefault="000267F8" w:rsidP="00475036">
      <w:r>
        <w:t>CITES er tiltrådt af op mod 200 lande. Konventionen omfatter udelukkende international handel</w:t>
      </w:r>
      <w:r w:rsidR="00784D57">
        <w:t xml:space="preserve"> (eks</w:t>
      </w:r>
      <w:r>
        <w:t>port), og regulerer således ikke fangst som sådan.</w:t>
      </w:r>
    </w:p>
    <w:p w14:paraId="3CE24F6B" w14:textId="77777777" w:rsidR="000267F8" w:rsidRDefault="000267F8" w:rsidP="00475036"/>
    <w:p w14:paraId="510D92B6" w14:textId="4166922D" w:rsidR="000267F8" w:rsidRDefault="000267F8" w:rsidP="00475036">
      <w:r>
        <w:t>For hvert medlemsland</w:t>
      </w:r>
      <w:r w:rsidR="00784D57">
        <w:t xml:space="preserve"> er der en Administrativ Myndighed og en Videnskabelig M</w:t>
      </w:r>
      <w:r>
        <w:t xml:space="preserve">yndighed. I Grønland er den administrerende myndighed Departementet for Miljø og Natur, mens Grønlands Naturinstitut er udpeget </w:t>
      </w:r>
      <w:r w:rsidR="00334B44">
        <w:t xml:space="preserve">af Selvstyret </w:t>
      </w:r>
      <w:r>
        <w:t>som videnskabelig myndighed.</w:t>
      </w:r>
      <w:r w:rsidR="00EA4C8A">
        <w:t xml:space="preserve"> Dette er nedfældet i </w:t>
      </w:r>
      <w:r w:rsidR="006A72C6" w:rsidRPr="006A72C6">
        <w:t>Hjemmestyrets bekendtgørelse nr. 12 af 13. september 2004 om eksport og import af vilde dyr og planter mv. omfattet af konventionen af 3. marts 1973 om international handel med udryddelsestruede vilde dyr og planter (Washingtonkonventionen/CITES)</w:t>
      </w:r>
      <w:r w:rsidR="002C6823">
        <w:t>.</w:t>
      </w:r>
    </w:p>
    <w:p w14:paraId="10C23DF7" w14:textId="77777777" w:rsidR="000267F8" w:rsidRPr="00784D57" w:rsidRDefault="000267F8" w:rsidP="00475036">
      <w:pPr>
        <w:rPr>
          <w:b/>
        </w:rPr>
      </w:pPr>
    </w:p>
    <w:p w14:paraId="4BC1B005" w14:textId="77777777" w:rsidR="008D34B5" w:rsidRDefault="008D34B5" w:rsidP="00475036">
      <w:pPr>
        <w:rPr>
          <w:rFonts w:asciiTheme="majorHAnsi" w:hAnsiTheme="majorHAnsi"/>
          <w:b/>
          <w:color w:val="00B0F0"/>
          <w:sz w:val="32"/>
          <w:szCs w:val="32"/>
        </w:rPr>
      </w:pPr>
    </w:p>
    <w:p w14:paraId="06CFEB26" w14:textId="05C4D376" w:rsidR="000267F8" w:rsidRPr="00EA4C8A" w:rsidRDefault="00784D57" w:rsidP="00475036">
      <w:pPr>
        <w:rPr>
          <w:rFonts w:asciiTheme="majorHAnsi" w:hAnsiTheme="majorHAnsi"/>
          <w:b/>
          <w:color w:val="00B0F0"/>
          <w:sz w:val="32"/>
          <w:szCs w:val="32"/>
        </w:rPr>
      </w:pPr>
      <w:r w:rsidRPr="00EA4C8A">
        <w:rPr>
          <w:rFonts w:asciiTheme="majorHAnsi" w:hAnsiTheme="majorHAnsi"/>
          <w:b/>
          <w:color w:val="00B0F0"/>
          <w:sz w:val="32"/>
          <w:szCs w:val="32"/>
        </w:rPr>
        <w:t>Non Detriment Finding, NDF</w:t>
      </w:r>
    </w:p>
    <w:p w14:paraId="717CD00B" w14:textId="77777777" w:rsidR="00784D57" w:rsidRDefault="00784D57" w:rsidP="00475036"/>
    <w:p w14:paraId="5C461B86" w14:textId="6AF10585" w:rsidR="0028232A" w:rsidRDefault="00784D57" w:rsidP="00475036">
      <w:r>
        <w:t>Den vi</w:t>
      </w:r>
      <w:r w:rsidR="0028232A">
        <w:t>denskabelige myndighed står for vurdering og udarbejdelse</w:t>
      </w:r>
      <w:r>
        <w:t xml:space="preserve"> af en Non Detriment Finding, NDF</w:t>
      </w:r>
      <w:r w:rsidR="0028232A">
        <w:t>,</w:t>
      </w:r>
      <w:r>
        <w:t xml:space="preserve"> før eksport kan tillades</w:t>
      </w:r>
      <w:r w:rsidR="0028232A">
        <w:t xml:space="preserve"> af den administrerende myndighed. </w:t>
      </w:r>
    </w:p>
    <w:p w14:paraId="089AC251" w14:textId="77777777" w:rsidR="0028232A" w:rsidRDefault="0028232A" w:rsidP="00475036"/>
    <w:p w14:paraId="341D60B6" w14:textId="30099A5B" w:rsidR="00784D57" w:rsidRDefault="0028232A" w:rsidP="00475036">
      <w:r>
        <w:t xml:space="preserve">Arter der jævnligt fanges i Grønland, </w:t>
      </w:r>
      <w:r w:rsidR="00A325A5">
        <w:t>som er omfattet af krav om NDF</w:t>
      </w:r>
      <w:r w:rsidR="00EA4C8A">
        <w:t>,</w:t>
      </w:r>
      <w:r w:rsidR="00A325A5">
        <w:t xml:space="preserve"> og </w:t>
      </w:r>
      <w:r>
        <w:t>som kunne danne baggrund for eksport</w:t>
      </w:r>
      <w:r w:rsidR="00A325A5">
        <w:t xml:space="preserve"> </w:t>
      </w:r>
      <w:r>
        <w:t xml:space="preserve">omfatter: Isbjørn, vågehval i Vestgrønland, narhval, hvidhval, marsvin, </w:t>
      </w:r>
      <w:r>
        <w:lastRenderedPageBreak/>
        <w:t>grindehval, spækhugger og hvidnæset delfin. For disse arter foretager Grønlands Naturinstitut nu årligt en vurdering. E</w:t>
      </w:r>
      <w:r w:rsidR="00AD6D1A">
        <w:t xml:space="preserve">fter forespørgsel fra den Administrative Myndighed </w:t>
      </w:r>
      <w:r>
        <w:t xml:space="preserve">foretages </w:t>
      </w:r>
      <w:r w:rsidR="00AD6D1A">
        <w:t xml:space="preserve">der endvidere </w:t>
      </w:r>
      <w:r>
        <w:t xml:space="preserve">en </w:t>
      </w:r>
      <w:r w:rsidR="00AD6D1A">
        <w:t>NDF-</w:t>
      </w:r>
      <w:r>
        <w:t xml:space="preserve">vurdering for hvalros, </w:t>
      </w:r>
      <w:r w:rsidR="00AD6D1A">
        <w:t xml:space="preserve">da import til EU lande er underlagt </w:t>
      </w:r>
      <w:r w:rsidR="00650773">
        <w:t xml:space="preserve">strengere </w:t>
      </w:r>
      <w:r w:rsidR="00AD6D1A">
        <w:t>krav der kan sidestilles med liste 2 i CITES</w:t>
      </w:r>
      <w:r>
        <w:t>.</w:t>
      </w:r>
      <w:r w:rsidR="00A325A5">
        <w:t xml:space="preserve"> For øvrige arter, der kun fanges i mindre </w:t>
      </w:r>
      <w:r w:rsidR="003264B2">
        <w:t>an</w:t>
      </w:r>
      <w:r w:rsidR="00A325A5">
        <w:t>tal, foretages vurderingen efter behov.</w:t>
      </w:r>
    </w:p>
    <w:p w14:paraId="6614044D" w14:textId="77777777" w:rsidR="00784D57" w:rsidRDefault="00784D57" w:rsidP="00475036"/>
    <w:p w14:paraId="28F5E42D" w14:textId="23BA1251" w:rsidR="00EA4C8A" w:rsidRDefault="0028232A" w:rsidP="00475036">
      <w:r>
        <w:t>Som grundlag for NDF-vurderingen a</w:t>
      </w:r>
      <w:r w:rsidR="002D5D38">
        <w:t xml:space="preserve">nvender Grønlands Naturinstitut </w:t>
      </w:r>
      <w:r>
        <w:t>retningslinjer</w:t>
      </w:r>
      <w:r w:rsidR="00A325A5">
        <w:t xml:space="preserve"> anbefalet</w:t>
      </w:r>
      <w:r>
        <w:t xml:space="preserve"> af CITES i bl.a. Conf 16.7.</w:t>
      </w:r>
      <w:r w:rsidR="002D5D38">
        <w:t xml:space="preserve"> f</w:t>
      </w:r>
      <w:r w:rsidR="00EA4C8A">
        <w:t>ra COP17</w:t>
      </w:r>
      <w:r w:rsidR="00800DA4">
        <w:rPr>
          <w:rStyle w:val="Fodnotehenvisning"/>
        </w:rPr>
        <w:footnoteReference w:id="1"/>
      </w:r>
      <w:r w:rsidR="00EA4C8A">
        <w:t>, og CITES Scientific Authorities Checklist doc 11.3</w:t>
      </w:r>
      <w:r w:rsidR="00800DA4">
        <w:rPr>
          <w:rStyle w:val="Fodnotehenvisning"/>
        </w:rPr>
        <w:footnoteReference w:id="2"/>
      </w:r>
      <w:r w:rsidR="00EA4C8A">
        <w:t>.</w:t>
      </w:r>
      <w:r w:rsidR="00334B44">
        <w:t xml:space="preserve"> </w:t>
      </w:r>
    </w:p>
    <w:p w14:paraId="7C3F62E4" w14:textId="77777777" w:rsidR="00EA4C8A" w:rsidRDefault="00EA4C8A" w:rsidP="00475036"/>
    <w:p w14:paraId="26C1CF26" w14:textId="77777777" w:rsidR="00334B44" w:rsidRDefault="00334B44" w:rsidP="00475036"/>
    <w:p w14:paraId="7434A444" w14:textId="77777777" w:rsidR="00784D57" w:rsidRDefault="00334B44" w:rsidP="00475036">
      <w:r>
        <w:t xml:space="preserve"> Retningslinjerne </w:t>
      </w:r>
      <w:r w:rsidR="00A325A5">
        <w:t>omfatter bl.a.</w:t>
      </w:r>
      <w:r w:rsidR="00EA4C8A">
        <w:t>:</w:t>
      </w:r>
    </w:p>
    <w:p w14:paraId="228EBF23" w14:textId="345D761B" w:rsidR="00A325A5" w:rsidRDefault="00A325A5" w:rsidP="00A325A5">
      <w:pPr>
        <w:pStyle w:val="Listeafsnit"/>
        <w:numPr>
          <w:ilvl w:val="0"/>
          <w:numId w:val="4"/>
        </w:numPr>
      </w:pPr>
      <w:r>
        <w:t>at den bedste videnskabelige information danner grundlag for en NDF</w:t>
      </w:r>
    </w:p>
    <w:p w14:paraId="5947740F" w14:textId="1D9AF99A" w:rsidR="00EA4C8A" w:rsidRDefault="00A325A5" w:rsidP="00EA4C8A">
      <w:pPr>
        <w:pStyle w:val="Listeafsnit"/>
        <w:numPr>
          <w:ilvl w:val="0"/>
          <w:numId w:val="4"/>
        </w:numPr>
      </w:pPr>
      <w:r>
        <w:t>at en NDF er resultatet af en videnskabelig</w:t>
      </w:r>
      <w:r w:rsidR="003264B2">
        <w:t xml:space="preserve"> </w:t>
      </w:r>
      <w:r>
        <w:t xml:space="preserve">vurdering der </w:t>
      </w:r>
      <w:r w:rsidR="003264B2">
        <w:t>an</w:t>
      </w:r>
      <w:r>
        <w:t>viser om eksport kan være skadelig eller ej. Herunder om den overordnede fangst af arten vurdere</w:t>
      </w:r>
      <w:r w:rsidR="003264B2">
        <w:t xml:space="preserve">s </w:t>
      </w:r>
      <w:r>
        <w:t>at være bæredygtig.</w:t>
      </w:r>
    </w:p>
    <w:p w14:paraId="253C5531" w14:textId="54057E49" w:rsidR="00EA4C8A" w:rsidRDefault="00EA4C8A" w:rsidP="00EA4C8A">
      <w:pPr>
        <w:pStyle w:val="Listeafsnit"/>
        <w:numPr>
          <w:ilvl w:val="0"/>
          <w:numId w:val="4"/>
        </w:numPr>
      </w:pPr>
      <w:r>
        <w:t>at usikkerhed vedr. status for en art</w:t>
      </w:r>
      <w:r w:rsidR="00B734B5">
        <w:t xml:space="preserve"> medfører at den</w:t>
      </w:r>
      <w:r>
        <w:t xml:space="preserve"> videnskabelige myndighed konkludere</w:t>
      </w:r>
      <w:r w:rsidR="00B734B5">
        <w:t>r</w:t>
      </w:r>
      <w:r>
        <w:t>, at der foreligger et utilstrækkeligt grundlag for en NDF</w:t>
      </w:r>
    </w:p>
    <w:p w14:paraId="169D084D" w14:textId="7E8E2284" w:rsidR="002D5D38" w:rsidRDefault="002D5D38" w:rsidP="002D5D38">
      <w:pPr>
        <w:pStyle w:val="Listeafsnit"/>
        <w:numPr>
          <w:ilvl w:val="0"/>
          <w:numId w:val="4"/>
        </w:numPr>
      </w:pPr>
      <w:r>
        <w:t xml:space="preserve">at arten </w:t>
      </w:r>
      <w:r w:rsidR="00650773">
        <w:t>bevares</w:t>
      </w:r>
      <w:r>
        <w:t xml:space="preserve"> i hele sit udbredelsesområde</w:t>
      </w:r>
    </w:p>
    <w:p w14:paraId="21544119" w14:textId="77777777" w:rsidR="002D5D38" w:rsidRDefault="002D5D38" w:rsidP="002D5D38">
      <w:pPr>
        <w:pStyle w:val="Listeafsnit"/>
        <w:numPr>
          <w:ilvl w:val="0"/>
          <w:numId w:val="4"/>
        </w:numPr>
      </w:pPr>
      <w:r>
        <w:t xml:space="preserve">at adaptiv forvaltning, som inkluderer </w:t>
      </w:r>
      <w:r w:rsidR="00EA4C8A">
        <w:t xml:space="preserve">regulering af fangsten og </w:t>
      </w:r>
      <w:r>
        <w:t>monitering/overvågning er etableret</w:t>
      </w:r>
    </w:p>
    <w:p w14:paraId="38522EBB" w14:textId="77777777" w:rsidR="002D5D38" w:rsidRDefault="002D5D38" w:rsidP="002D5D38"/>
    <w:p w14:paraId="6ECE95BE" w14:textId="2DCF2DEC" w:rsidR="002D5D38" w:rsidRDefault="00650773" w:rsidP="002D5D38">
      <w:r>
        <w:t xml:space="preserve">Tilsvarende </w:t>
      </w:r>
      <w:r w:rsidR="002D5D38">
        <w:t xml:space="preserve">retningslinjer for udarbejdelsen af NDF anvendes også i </w:t>
      </w:r>
      <w:r w:rsidR="008D34B5">
        <w:t>C</w:t>
      </w:r>
      <w:r w:rsidR="002D5D38">
        <w:t xml:space="preserve">anada. Administrativt er der </w:t>
      </w:r>
      <w:r w:rsidR="00EA4C8A">
        <w:t xml:space="preserve">dog </w:t>
      </w:r>
      <w:r w:rsidR="002D5D38">
        <w:t xml:space="preserve">forvaltningsmæssige forskelle </w:t>
      </w:r>
      <w:r w:rsidR="00B734B5">
        <w:t>mellem Grønland og</w:t>
      </w:r>
      <w:r w:rsidR="002D5D38">
        <w:t xml:space="preserve"> </w:t>
      </w:r>
      <w:r w:rsidR="008D34B5">
        <w:t>C</w:t>
      </w:r>
      <w:r w:rsidR="002D5D38">
        <w:t>anada</w:t>
      </w:r>
      <w:r w:rsidR="00B734B5">
        <w:t xml:space="preserve">. I </w:t>
      </w:r>
      <w:r w:rsidR="008D34B5">
        <w:t>C</w:t>
      </w:r>
      <w:r w:rsidR="00B734B5">
        <w:t>anada sikrer</w:t>
      </w:r>
      <w:r w:rsidR="002D5D38">
        <w:t xml:space="preserve"> et </w:t>
      </w:r>
      <w:r w:rsidR="00334B44">
        <w:t xml:space="preserve">sporingssystem, at et </w:t>
      </w:r>
      <w:r w:rsidR="002D5D38">
        <w:t>givet produkt følges af en</w:t>
      </w:r>
      <w:r w:rsidR="00EA4C8A">
        <w:t xml:space="preserve"> angivelse af</w:t>
      </w:r>
      <w:r w:rsidR="00334B44">
        <w:t xml:space="preserve"> hvilken bestand </w:t>
      </w:r>
      <w:r w:rsidR="00EA4C8A">
        <w:t>produktet stammer fra. Således gives</w:t>
      </w:r>
      <w:r w:rsidR="00B734B5">
        <w:t xml:space="preserve"> der</w:t>
      </w:r>
      <w:r w:rsidR="00EA4C8A">
        <w:t xml:space="preserve"> </w:t>
      </w:r>
      <w:r w:rsidR="00B734B5">
        <w:t xml:space="preserve">i </w:t>
      </w:r>
      <w:r w:rsidR="008D34B5">
        <w:t>C</w:t>
      </w:r>
      <w:r w:rsidR="00B734B5">
        <w:t>anada, afhængig af bæredygtigheds status, en</w:t>
      </w:r>
      <w:r w:rsidR="00EA4C8A">
        <w:t xml:space="preserve"> NDF-erklæring for nogle isbjørnebestande, men ikke for andre</w:t>
      </w:r>
      <w:r w:rsidR="00334B44">
        <w:t xml:space="preserve"> (f.eks. Baffin Bay)</w:t>
      </w:r>
      <w:r w:rsidR="00EA4C8A">
        <w:t>.</w:t>
      </w:r>
    </w:p>
    <w:p w14:paraId="065384F3" w14:textId="77777777" w:rsidR="001D0989" w:rsidRDefault="0028232A" w:rsidP="001D0989">
      <w:pPr>
        <w:pStyle w:val="Overskrift1"/>
      </w:pPr>
      <w:r>
        <w:t>Oversigt og konklusion</w:t>
      </w:r>
    </w:p>
    <w:p w14:paraId="4D20198C" w14:textId="1859F828" w:rsidR="00D82243" w:rsidRDefault="00297CE3" w:rsidP="005A6B66">
      <w:pPr>
        <w:spacing w:before="240"/>
        <w:rPr>
          <w:szCs w:val="24"/>
        </w:rPr>
      </w:pPr>
      <w:r>
        <w:rPr>
          <w:szCs w:val="24"/>
        </w:rPr>
        <w:t xml:space="preserve">Fangsten af vågehval i </w:t>
      </w:r>
      <w:r w:rsidR="00F30F41">
        <w:rPr>
          <w:szCs w:val="24"/>
        </w:rPr>
        <w:t>Vestg</w:t>
      </w:r>
      <w:r>
        <w:rPr>
          <w:szCs w:val="24"/>
        </w:rPr>
        <w:t xml:space="preserve">rønland følger den videnskabelige rådgivning fra den Internationale Hvalfangstkommission, og der </w:t>
      </w:r>
      <w:r w:rsidR="00D82243">
        <w:rPr>
          <w:szCs w:val="24"/>
        </w:rPr>
        <w:t xml:space="preserve">kan derfor </w:t>
      </w:r>
      <w:r>
        <w:rPr>
          <w:szCs w:val="24"/>
        </w:rPr>
        <w:t xml:space="preserve">afgives </w:t>
      </w:r>
      <w:r w:rsidR="00B734B5">
        <w:rPr>
          <w:szCs w:val="24"/>
        </w:rPr>
        <w:t xml:space="preserve">en </w:t>
      </w:r>
      <w:r w:rsidR="00D82243">
        <w:rPr>
          <w:szCs w:val="24"/>
        </w:rPr>
        <w:t xml:space="preserve">NDF </w:t>
      </w:r>
      <w:r>
        <w:rPr>
          <w:szCs w:val="24"/>
        </w:rPr>
        <w:t xml:space="preserve">for denne bestand. </w:t>
      </w:r>
    </w:p>
    <w:p w14:paraId="6380DD55" w14:textId="1AAD5638" w:rsidR="00D82243" w:rsidRDefault="00D82243" w:rsidP="00D82243">
      <w:pPr>
        <w:spacing w:before="240"/>
        <w:rPr>
          <w:szCs w:val="24"/>
        </w:rPr>
      </w:pPr>
      <w:r>
        <w:rPr>
          <w:szCs w:val="24"/>
        </w:rPr>
        <w:t xml:space="preserve">For narhval, hvidhval, hvalros og isbjørn foretages der </w:t>
      </w:r>
      <w:r w:rsidR="00B734B5">
        <w:rPr>
          <w:szCs w:val="24"/>
        </w:rPr>
        <w:t xml:space="preserve">ligeledes </w:t>
      </w:r>
      <w:r>
        <w:rPr>
          <w:szCs w:val="24"/>
        </w:rPr>
        <w:t xml:space="preserve">regelmæssig international vurdering af bæredygtigheden af fangsten. For disse arter </w:t>
      </w:r>
      <w:r w:rsidR="00B734B5">
        <w:rPr>
          <w:szCs w:val="24"/>
        </w:rPr>
        <w:t xml:space="preserve">opdateres </w:t>
      </w:r>
      <w:r w:rsidR="008D34B5">
        <w:rPr>
          <w:szCs w:val="24"/>
        </w:rPr>
        <w:t xml:space="preserve">en vurdering </w:t>
      </w:r>
      <w:r>
        <w:rPr>
          <w:szCs w:val="24"/>
        </w:rPr>
        <w:t>af bæredygtigheden</w:t>
      </w:r>
      <w:r w:rsidR="00B734B5">
        <w:rPr>
          <w:szCs w:val="24"/>
        </w:rPr>
        <w:t xml:space="preserve"> årligt</w:t>
      </w:r>
      <w:r>
        <w:rPr>
          <w:szCs w:val="24"/>
        </w:rPr>
        <w:t xml:space="preserve"> i relation til CITES. For</w:t>
      </w:r>
      <w:r w:rsidRPr="003A388B">
        <w:rPr>
          <w:szCs w:val="24"/>
        </w:rPr>
        <w:t xml:space="preserve"> 201</w:t>
      </w:r>
      <w:r>
        <w:rPr>
          <w:szCs w:val="24"/>
        </w:rPr>
        <w:t>7</w:t>
      </w:r>
      <w:r w:rsidRPr="003A388B">
        <w:rPr>
          <w:szCs w:val="24"/>
        </w:rPr>
        <w:t xml:space="preserve"> </w:t>
      </w:r>
      <w:r>
        <w:rPr>
          <w:szCs w:val="24"/>
        </w:rPr>
        <w:t>gives en NDF</w:t>
      </w:r>
      <w:r w:rsidR="00B734B5">
        <w:rPr>
          <w:szCs w:val="24"/>
        </w:rPr>
        <w:t xml:space="preserve"> </w:t>
      </w:r>
      <w:r>
        <w:rPr>
          <w:szCs w:val="24"/>
        </w:rPr>
        <w:t>erklæring for hvidhval og hvalros, mens dette ikke er muligt for narhval og isbjørn.</w:t>
      </w:r>
      <w:r w:rsidRPr="003A388B">
        <w:rPr>
          <w:szCs w:val="24"/>
        </w:rPr>
        <w:t xml:space="preserve"> Dette skyldes</w:t>
      </w:r>
      <w:r>
        <w:rPr>
          <w:szCs w:val="24"/>
        </w:rPr>
        <w:t>,</w:t>
      </w:r>
      <w:r w:rsidRPr="003A388B">
        <w:rPr>
          <w:szCs w:val="24"/>
        </w:rPr>
        <w:t xml:space="preserve"> at fangsten overstiger rådgivningen for bæredygtighed i </w:t>
      </w:r>
      <w:r>
        <w:rPr>
          <w:szCs w:val="24"/>
        </w:rPr>
        <w:t>tre bestande</w:t>
      </w:r>
      <w:r w:rsidRPr="003A388B">
        <w:rPr>
          <w:szCs w:val="24"/>
        </w:rPr>
        <w:t xml:space="preserve"> </w:t>
      </w:r>
      <w:r>
        <w:rPr>
          <w:szCs w:val="24"/>
        </w:rPr>
        <w:t>af narhval (</w:t>
      </w:r>
      <w:r>
        <w:t>Melville Bugt, Ittoqqortoormiit og Tasiilaq</w:t>
      </w:r>
      <w:r>
        <w:rPr>
          <w:szCs w:val="24"/>
        </w:rPr>
        <w:t>), og at der p.t. ikke foreligger en</w:t>
      </w:r>
      <w:r w:rsidR="00B734B5">
        <w:rPr>
          <w:szCs w:val="24"/>
        </w:rPr>
        <w:t xml:space="preserve"> </w:t>
      </w:r>
      <w:r w:rsidR="00650773">
        <w:rPr>
          <w:szCs w:val="24"/>
        </w:rPr>
        <w:t xml:space="preserve">gældende </w:t>
      </w:r>
      <w:r>
        <w:rPr>
          <w:szCs w:val="24"/>
        </w:rPr>
        <w:t>rådgivning for isbjørn</w:t>
      </w:r>
      <w:r w:rsidR="00B734B5">
        <w:rPr>
          <w:szCs w:val="24"/>
        </w:rPr>
        <w:t xml:space="preserve"> i Grønland</w:t>
      </w:r>
      <w:r>
        <w:rPr>
          <w:szCs w:val="24"/>
        </w:rPr>
        <w:t>.</w:t>
      </w:r>
    </w:p>
    <w:p w14:paraId="61B7FF09" w14:textId="7DD1F8DC" w:rsidR="00297CE3" w:rsidRDefault="00297CE3" w:rsidP="005A6B66">
      <w:pPr>
        <w:spacing w:before="240"/>
        <w:rPr>
          <w:szCs w:val="24"/>
        </w:rPr>
      </w:pPr>
      <w:r>
        <w:rPr>
          <w:szCs w:val="24"/>
        </w:rPr>
        <w:t>For de fleste arter af s</w:t>
      </w:r>
      <w:r w:rsidR="00D82243">
        <w:rPr>
          <w:szCs w:val="24"/>
        </w:rPr>
        <w:t>måhvaler foreligger der ikke en</w:t>
      </w:r>
      <w:r w:rsidR="00CF01E0">
        <w:rPr>
          <w:szCs w:val="24"/>
        </w:rPr>
        <w:t xml:space="preserve"> </w:t>
      </w:r>
      <w:r>
        <w:rPr>
          <w:szCs w:val="24"/>
        </w:rPr>
        <w:t>videns</w:t>
      </w:r>
      <w:r w:rsidR="003D376D">
        <w:rPr>
          <w:szCs w:val="24"/>
        </w:rPr>
        <w:t>k</w:t>
      </w:r>
      <w:r>
        <w:rPr>
          <w:szCs w:val="24"/>
        </w:rPr>
        <w:t xml:space="preserve">abelig vurdering af bæredygtigheden af fangsten, og </w:t>
      </w:r>
      <w:r w:rsidR="00C71981">
        <w:rPr>
          <w:szCs w:val="24"/>
        </w:rPr>
        <w:t xml:space="preserve">uden et sådant </w:t>
      </w:r>
      <w:r w:rsidR="00D82243">
        <w:rPr>
          <w:szCs w:val="24"/>
        </w:rPr>
        <w:t xml:space="preserve">videnskabeligt grundlag </w:t>
      </w:r>
      <w:r w:rsidR="00C71981">
        <w:rPr>
          <w:szCs w:val="24"/>
        </w:rPr>
        <w:t xml:space="preserve">kan der ikke </w:t>
      </w:r>
      <w:r w:rsidR="00D82243">
        <w:rPr>
          <w:szCs w:val="24"/>
        </w:rPr>
        <w:t>afgive</w:t>
      </w:r>
      <w:r w:rsidR="00C71981">
        <w:rPr>
          <w:szCs w:val="24"/>
        </w:rPr>
        <w:t>s</w:t>
      </w:r>
      <w:r w:rsidR="00D82243">
        <w:rPr>
          <w:szCs w:val="24"/>
        </w:rPr>
        <w:t xml:space="preserve"> en NDF-erklæring</w:t>
      </w:r>
      <w:r>
        <w:rPr>
          <w:szCs w:val="24"/>
        </w:rPr>
        <w:t>.</w:t>
      </w:r>
    </w:p>
    <w:p w14:paraId="6ABFF175" w14:textId="6D7B449B" w:rsidR="00000837" w:rsidRDefault="00D82243" w:rsidP="00DB19D4">
      <w:pPr>
        <w:spacing w:before="240"/>
        <w:rPr>
          <w:szCs w:val="24"/>
        </w:rPr>
      </w:pPr>
      <w:r>
        <w:rPr>
          <w:szCs w:val="24"/>
        </w:rPr>
        <w:t>F</w:t>
      </w:r>
      <w:r w:rsidR="00DC7C95">
        <w:rPr>
          <w:szCs w:val="24"/>
        </w:rPr>
        <w:t>ra 2016 til 2017</w:t>
      </w:r>
      <w:r>
        <w:rPr>
          <w:szCs w:val="24"/>
        </w:rPr>
        <w:t xml:space="preserve"> er der sket en fremgang i antallet af bestande, hvor </w:t>
      </w:r>
      <w:r w:rsidR="00DC7C95">
        <w:rPr>
          <w:szCs w:val="24"/>
        </w:rPr>
        <w:t>fangst</w:t>
      </w:r>
      <w:r>
        <w:rPr>
          <w:szCs w:val="24"/>
        </w:rPr>
        <w:t>en vurderes bærdygtig. D</w:t>
      </w:r>
      <w:r w:rsidR="00B734B5">
        <w:rPr>
          <w:szCs w:val="24"/>
        </w:rPr>
        <w:t>isse bestande</w:t>
      </w:r>
      <w:r w:rsidR="008D34B5">
        <w:rPr>
          <w:szCs w:val="24"/>
        </w:rPr>
        <w:t xml:space="preserve"> e</w:t>
      </w:r>
      <w:r w:rsidR="00B734B5">
        <w:rPr>
          <w:szCs w:val="24"/>
        </w:rPr>
        <w:t>r</w:t>
      </w:r>
      <w:r>
        <w:rPr>
          <w:szCs w:val="24"/>
        </w:rPr>
        <w:t xml:space="preserve"> hvalros</w:t>
      </w:r>
      <w:r w:rsidR="00B734B5">
        <w:rPr>
          <w:szCs w:val="24"/>
        </w:rPr>
        <w:t xml:space="preserve"> for alle tre grønlandske bestande</w:t>
      </w:r>
      <w:r w:rsidR="002F03B8">
        <w:rPr>
          <w:szCs w:val="24"/>
        </w:rPr>
        <w:t xml:space="preserve">, </w:t>
      </w:r>
      <w:r w:rsidR="00DC7C95">
        <w:rPr>
          <w:szCs w:val="24"/>
        </w:rPr>
        <w:t xml:space="preserve">og </w:t>
      </w:r>
      <w:r w:rsidR="00B734B5">
        <w:rPr>
          <w:szCs w:val="24"/>
        </w:rPr>
        <w:t xml:space="preserve">for </w:t>
      </w:r>
      <w:r w:rsidR="00DC7C95">
        <w:rPr>
          <w:szCs w:val="24"/>
        </w:rPr>
        <w:t xml:space="preserve">narhval i </w:t>
      </w:r>
      <w:r w:rsidR="0041617C">
        <w:rPr>
          <w:szCs w:val="24"/>
        </w:rPr>
        <w:t xml:space="preserve">Inglefield Bredning. </w:t>
      </w:r>
    </w:p>
    <w:p w14:paraId="609EF2A3" w14:textId="77777777" w:rsidR="00CF1C3E" w:rsidRDefault="00CF1C3E" w:rsidP="00DB19D4">
      <w:pPr>
        <w:spacing w:before="240"/>
        <w:rPr>
          <w:szCs w:val="24"/>
        </w:rPr>
      </w:pPr>
    </w:p>
    <w:p w14:paraId="4CCF4EF3" w14:textId="77777777" w:rsidR="00000837" w:rsidRPr="00000837" w:rsidRDefault="00000837" w:rsidP="00CF1C3E">
      <w:pPr>
        <w:spacing w:before="240" w:after="240"/>
        <w:rPr>
          <w:color w:val="C00000"/>
          <w:szCs w:val="24"/>
        </w:rPr>
      </w:pPr>
      <w:r>
        <w:rPr>
          <w:szCs w:val="24"/>
        </w:rPr>
        <w:t>Tabel over gæld</w:t>
      </w:r>
      <w:r w:rsidR="006A0F3E">
        <w:rPr>
          <w:szCs w:val="24"/>
        </w:rPr>
        <w:t>e</w:t>
      </w:r>
      <w:r>
        <w:rPr>
          <w:szCs w:val="24"/>
        </w:rPr>
        <w:t>n</w:t>
      </w:r>
      <w:r w:rsidR="006A0F3E">
        <w:rPr>
          <w:szCs w:val="24"/>
        </w:rPr>
        <w:t>d</w:t>
      </w:r>
      <w:r>
        <w:rPr>
          <w:szCs w:val="24"/>
        </w:rPr>
        <w:t>e NDF</w:t>
      </w:r>
      <w:r w:rsidR="006A0F3E">
        <w:rPr>
          <w:szCs w:val="24"/>
        </w:rPr>
        <w:t>’</w:t>
      </w:r>
      <w:r>
        <w:rPr>
          <w:szCs w:val="24"/>
        </w:rPr>
        <w:t>er for 201</w:t>
      </w:r>
      <w:r w:rsidR="00D93877">
        <w:rPr>
          <w:szCs w:val="24"/>
        </w:rPr>
        <w:t>7</w:t>
      </w:r>
      <w:r>
        <w:rPr>
          <w:szCs w:val="24"/>
        </w:rPr>
        <w:t xml:space="preserve">.    </w:t>
      </w:r>
      <w:r w:rsidR="00D82243">
        <w:rPr>
          <w:color w:val="00B050"/>
          <w:szCs w:val="24"/>
        </w:rPr>
        <w:t xml:space="preserve">Grøn = </w:t>
      </w:r>
      <w:r w:rsidRPr="00000837">
        <w:rPr>
          <w:color w:val="00B050"/>
          <w:szCs w:val="24"/>
        </w:rPr>
        <w:t>NDF</w:t>
      </w:r>
      <w:r>
        <w:rPr>
          <w:szCs w:val="24"/>
        </w:rPr>
        <w:t xml:space="preserve">   </w:t>
      </w:r>
      <w:r w:rsidRPr="00000837">
        <w:rPr>
          <w:color w:val="C00000"/>
          <w:szCs w:val="24"/>
        </w:rPr>
        <w:t xml:space="preserve"> </w:t>
      </w:r>
      <w:r w:rsidR="00D82243">
        <w:rPr>
          <w:color w:val="C00000"/>
          <w:szCs w:val="24"/>
        </w:rPr>
        <w:t>Rød = Ingen</w:t>
      </w:r>
      <w:r w:rsidRPr="00000837">
        <w:rPr>
          <w:color w:val="C00000"/>
          <w:szCs w:val="24"/>
        </w:rPr>
        <w:t xml:space="preserve"> NDF</w:t>
      </w:r>
    </w:p>
    <w:tbl>
      <w:tblPr>
        <w:tblStyle w:val="Tabel-Git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102"/>
        <w:gridCol w:w="3092"/>
        <w:gridCol w:w="3094"/>
      </w:tblGrid>
      <w:tr w:rsidR="00000837" w14:paraId="7FA7A95A" w14:textId="77777777" w:rsidTr="00CF1C3E">
        <w:tc>
          <w:tcPr>
            <w:tcW w:w="3171" w:type="dxa"/>
          </w:tcPr>
          <w:p w14:paraId="4814A428" w14:textId="77777777" w:rsidR="00000837" w:rsidRPr="00000837" w:rsidRDefault="00000837" w:rsidP="00112F9C">
            <w:pPr>
              <w:spacing w:before="240"/>
              <w:jc w:val="center"/>
              <w:rPr>
                <w:color w:val="00B050"/>
                <w:sz w:val="26"/>
                <w:szCs w:val="26"/>
              </w:rPr>
            </w:pPr>
            <w:r w:rsidRPr="00000837">
              <w:rPr>
                <w:color w:val="00B050"/>
                <w:sz w:val="26"/>
                <w:szCs w:val="26"/>
              </w:rPr>
              <w:t>Vågehval</w:t>
            </w:r>
            <w:r w:rsidR="00112F9C">
              <w:rPr>
                <w:color w:val="00B050"/>
                <w:sz w:val="26"/>
                <w:szCs w:val="26"/>
              </w:rPr>
              <w:t xml:space="preserve"> i</w:t>
            </w:r>
            <w:r w:rsidRPr="00000837">
              <w:rPr>
                <w:color w:val="00B050"/>
                <w:sz w:val="26"/>
                <w:szCs w:val="26"/>
              </w:rPr>
              <w:t xml:space="preserve"> Vestgrønland</w:t>
            </w:r>
          </w:p>
        </w:tc>
        <w:tc>
          <w:tcPr>
            <w:tcW w:w="3171" w:type="dxa"/>
          </w:tcPr>
          <w:p w14:paraId="5AEA713D" w14:textId="77777777" w:rsidR="00000837" w:rsidRPr="00000837" w:rsidRDefault="00000837" w:rsidP="00000837">
            <w:pPr>
              <w:spacing w:before="240"/>
              <w:jc w:val="center"/>
              <w:rPr>
                <w:color w:val="C00000"/>
                <w:sz w:val="26"/>
                <w:szCs w:val="26"/>
              </w:rPr>
            </w:pPr>
            <w:r w:rsidRPr="00000837">
              <w:rPr>
                <w:color w:val="C00000"/>
                <w:sz w:val="26"/>
                <w:szCs w:val="26"/>
              </w:rPr>
              <w:t>Narhval</w:t>
            </w:r>
          </w:p>
        </w:tc>
        <w:tc>
          <w:tcPr>
            <w:tcW w:w="3172" w:type="dxa"/>
          </w:tcPr>
          <w:p w14:paraId="6F0721C6" w14:textId="77777777" w:rsidR="00000837" w:rsidRPr="00000837" w:rsidRDefault="00000837" w:rsidP="00000837">
            <w:pPr>
              <w:spacing w:before="240"/>
              <w:jc w:val="center"/>
              <w:rPr>
                <w:color w:val="00B050"/>
                <w:sz w:val="26"/>
                <w:szCs w:val="26"/>
              </w:rPr>
            </w:pPr>
            <w:r w:rsidRPr="00000837">
              <w:rPr>
                <w:color w:val="00B050"/>
                <w:sz w:val="26"/>
                <w:szCs w:val="26"/>
              </w:rPr>
              <w:t>Hvidhval</w:t>
            </w:r>
          </w:p>
        </w:tc>
      </w:tr>
      <w:tr w:rsidR="00000837" w14:paraId="3B43A202" w14:textId="77777777" w:rsidTr="00CF1C3E">
        <w:tc>
          <w:tcPr>
            <w:tcW w:w="3171" w:type="dxa"/>
          </w:tcPr>
          <w:p w14:paraId="5E18EEC9" w14:textId="77777777" w:rsidR="00000837" w:rsidRPr="00000837" w:rsidRDefault="00000837" w:rsidP="00000837">
            <w:pPr>
              <w:spacing w:before="240"/>
              <w:jc w:val="center"/>
              <w:rPr>
                <w:color w:val="C00000"/>
                <w:sz w:val="26"/>
                <w:szCs w:val="26"/>
              </w:rPr>
            </w:pPr>
            <w:r w:rsidRPr="00000837">
              <w:rPr>
                <w:color w:val="C00000"/>
                <w:sz w:val="26"/>
                <w:szCs w:val="26"/>
              </w:rPr>
              <w:t>Andre småhvaler</w:t>
            </w:r>
            <w:r w:rsidR="008A642C">
              <w:rPr>
                <w:rStyle w:val="Fodnotehenvisning"/>
                <w:color w:val="C00000"/>
                <w:sz w:val="26"/>
                <w:szCs w:val="26"/>
              </w:rPr>
              <w:footnoteReference w:id="3"/>
            </w:r>
          </w:p>
        </w:tc>
        <w:tc>
          <w:tcPr>
            <w:tcW w:w="3171" w:type="dxa"/>
          </w:tcPr>
          <w:p w14:paraId="7D8D700E" w14:textId="77777777" w:rsidR="00000837" w:rsidRPr="00000837" w:rsidRDefault="000078F3" w:rsidP="00000837">
            <w:pPr>
              <w:spacing w:before="240"/>
              <w:jc w:val="center"/>
              <w:rPr>
                <w:color w:val="C00000"/>
                <w:sz w:val="26"/>
                <w:szCs w:val="26"/>
              </w:rPr>
            </w:pPr>
            <w:r w:rsidRPr="00000837">
              <w:rPr>
                <w:color w:val="00B050"/>
                <w:sz w:val="26"/>
                <w:szCs w:val="26"/>
              </w:rPr>
              <w:t>Hv</w:t>
            </w:r>
            <w:r>
              <w:rPr>
                <w:color w:val="00B050"/>
                <w:sz w:val="26"/>
                <w:szCs w:val="26"/>
              </w:rPr>
              <w:t>alros</w:t>
            </w:r>
          </w:p>
        </w:tc>
        <w:tc>
          <w:tcPr>
            <w:tcW w:w="3172" w:type="dxa"/>
          </w:tcPr>
          <w:p w14:paraId="3610BD87" w14:textId="77777777" w:rsidR="00000837" w:rsidRPr="00000837" w:rsidRDefault="00000837" w:rsidP="00000837">
            <w:pPr>
              <w:spacing w:before="240"/>
              <w:jc w:val="center"/>
              <w:rPr>
                <w:color w:val="C00000"/>
                <w:sz w:val="26"/>
                <w:szCs w:val="26"/>
              </w:rPr>
            </w:pPr>
            <w:r w:rsidRPr="00000837">
              <w:rPr>
                <w:color w:val="C00000"/>
                <w:sz w:val="26"/>
                <w:szCs w:val="26"/>
              </w:rPr>
              <w:t>Isbjørn</w:t>
            </w:r>
          </w:p>
        </w:tc>
      </w:tr>
    </w:tbl>
    <w:p w14:paraId="38809DFE" w14:textId="7628219C" w:rsidR="00EC00FF" w:rsidRDefault="00DB19D4" w:rsidP="00DB19D4">
      <w:pPr>
        <w:pStyle w:val="Overskrift1"/>
      </w:pPr>
      <w:r>
        <w:t>Bag</w:t>
      </w:r>
      <w:r w:rsidR="00543782">
        <w:t>grund</w:t>
      </w:r>
    </w:p>
    <w:p w14:paraId="2FEAAEA4" w14:textId="77777777" w:rsidR="009B4C6D" w:rsidRPr="009B4C6D" w:rsidRDefault="009B4C6D" w:rsidP="00962901"/>
    <w:p w14:paraId="3939F596" w14:textId="7280866A" w:rsidR="00D82243" w:rsidRDefault="00920BF6" w:rsidP="00D82243">
      <w:pPr>
        <w:spacing w:after="240"/>
      </w:pPr>
      <w:r>
        <w:t>De</w:t>
      </w:r>
      <w:r w:rsidR="009B4C6D">
        <w:t>n</w:t>
      </w:r>
      <w:r w:rsidR="00D82243">
        <w:t xml:space="preserve"> første vurdering af </w:t>
      </w:r>
      <w:r w:rsidR="009B4C6D">
        <w:t xml:space="preserve">en </w:t>
      </w:r>
      <w:r w:rsidR="00D82243">
        <w:t>NDF</w:t>
      </w:r>
      <w:r>
        <w:t xml:space="preserve"> i Grønland var narhval i </w:t>
      </w:r>
      <w:r w:rsidR="0060409E">
        <w:t>2006</w:t>
      </w:r>
      <w:r>
        <w:t xml:space="preserve">. Denne </w:t>
      </w:r>
      <w:r w:rsidR="00D82243">
        <w:t xml:space="preserve">resulterede ikke i en NDF, men fra </w:t>
      </w:r>
      <w:r>
        <w:t xml:space="preserve">2009 </w:t>
      </w:r>
      <w:r w:rsidR="00D82243">
        <w:t>opnåede narhvalfangsten en NDF. De første vurde</w:t>
      </w:r>
      <w:r w:rsidR="005A6B66">
        <w:t xml:space="preserve">ringer for hvidhval, isbjørn og hvalros </w:t>
      </w:r>
      <w:r w:rsidR="009B4C6D">
        <w:t>er fra</w:t>
      </w:r>
      <w:r w:rsidR="005A6B66">
        <w:t xml:space="preserve"> 2007, og </w:t>
      </w:r>
      <w:r w:rsidR="00D82243">
        <w:t xml:space="preserve">her opnåede </w:t>
      </w:r>
      <w:r w:rsidR="005A6B66">
        <w:t>hvidhval</w:t>
      </w:r>
      <w:r w:rsidR="00D82243">
        <w:t xml:space="preserve"> en NDF. Ved e</w:t>
      </w:r>
      <w:r w:rsidR="005A6B66">
        <w:t xml:space="preserve">n revurdering i 2011 </w:t>
      </w:r>
      <w:r w:rsidR="00D82243">
        <w:t xml:space="preserve">opnåede hvalros </w:t>
      </w:r>
      <w:r w:rsidR="009B4C6D">
        <w:t xml:space="preserve">en </w:t>
      </w:r>
      <w:r w:rsidR="00D82243">
        <w:t>NDF</w:t>
      </w:r>
      <w:r w:rsidR="009B4C6D">
        <w:t xml:space="preserve"> som</w:t>
      </w:r>
      <w:r w:rsidR="00642AB0">
        <w:t xml:space="preserve"> blev bekræftet i 2015. I 2016</w:t>
      </w:r>
      <w:r w:rsidR="00D82243">
        <w:t xml:space="preserve"> blev der afgivet NDF </w:t>
      </w:r>
      <w:r w:rsidR="00642AB0">
        <w:t>for hvidhval, og vågehval i Vestgrønland</w:t>
      </w:r>
      <w:r w:rsidR="00D82243">
        <w:t>, mens der ikke var grundlag</w:t>
      </w:r>
      <w:r w:rsidR="00D52982">
        <w:t xml:space="preserve"> </w:t>
      </w:r>
      <w:r w:rsidR="005A6B66">
        <w:t>for isbjørn</w:t>
      </w:r>
      <w:r w:rsidR="00642AB0">
        <w:t>, hvalros, narhval, marsvin, grindehval, hvidnæse delfiner og spækhugger.</w:t>
      </w:r>
    </w:p>
    <w:p w14:paraId="7F8F4CF0" w14:textId="55B16929" w:rsidR="005A6B66" w:rsidRDefault="00642AB0" w:rsidP="004E51C2">
      <w:pPr>
        <w:spacing w:after="240"/>
      </w:pPr>
      <w:r>
        <w:t>Indtil 2015</w:t>
      </w:r>
      <w:r w:rsidR="009B4C6D">
        <w:t xml:space="preserve"> er</w:t>
      </w:r>
      <w:r>
        <w:t xml:space="preserve"> d</w:t>
      </w:r>
      <w:r w:rsidR="005A6B66">
        <w:t>isse erklæringer blev udarbejdet efter forespørgsel fra Grønlands Selvstyre, og blev</w:t>
      </w:r>
      <w:r w:rsidR="004E51C2">
        <w:t xml:space="preserve"> </w:t>
      </w:r>
      <w:r w:rsidR="005A6B66">
        <w:t xml:space="preserve">opdateret uregelmæssigt. </w:t>
      </w:r>
      <w:r w:rsidR="00D82243">
        <w:t>F</w:t>
      </w:r>
      <w:r w:rsidR="004E51C2">
        <w:t xml:space="preserve">ra </w:t>
      </w:r>
      <w:r w:rsidR="00003904">
        <w:t>2016</w:t>
      </w:r>
      <w:r w:rsidR="00D82243">
        <w:t xml:space="preserve"> er der indført </w:t>
      </w:r>
      <w:r w:rsidR="004E51C2">
        <w:t xml:space="preserve">en </w:t>
      </w:r>
      <w:r w:rsidR="005A6B66">
        <w:t>arbejdsprocedure</w:t>
      </w:r>
      <w:r w:rsidR="00BF71BC">
        <w:t>,</w:t>
      </w:r>
      <w:r w:rsidR="005A6B66">
        <w:t xml:space="preserve"> der sikre</w:t>
      </w:r>
      <w:r w:rsidR="001928D0">
        <w:t>r</w:t>
      </w:r>
      <w:r w:rsidR="00BF71BC">
        <w:t>,</w:t>
      </w:r>
      <w:r w:rsidR="005A6B66">
        <w:t xml:space="preserve"> at erklæringerne </w:t>
      </w:r>
      <w:r w:rsidR="004E51C2">
        <w:t>opdateres årligt</w:t>
      </w:r>
      <w:r w:rsidR="00EA3256">
        <w:t>,</w:t>
      </w:r>
      <w:r w:rsidR="004E51C2">
        <w:t xml:space="preserve"> således at de </w:t>
      </w:r>
      <w:r w:rsidR="005A6B66">
        <w:t xml:space="preserve">stemmer overens </w:t>
      </w:r>
      <w:r w:rsidR="00EC5CCF">
        <w:t xml:space="preserve">med </w:t>
      </w:r>
      <w:r w:rsidR="005A6B66">
        <w:t>de aktuelle forhold.</w:t>
      </w:r>
      <w:r w:rsidR="004E51C2">
        <w:t xml:space="preserve"> Herudover blev en </w:t>
      </w:r>
      <w:r w:rsidR="00646F9B">
        <w:t xml:space="preserve">vurdering </w:t>
      </w:r>
      <w:r w:rsidR="004E51C2">
        <w:t xml:space="preserve">indført </w:t>
      </w:r>
      <w:r w:rsidR="00646F9B">
        <w:t xml:space="preserve">for </w:t>
      </w:r>
      <w:r w:rsidR="009B4C6D">
        <w:t xml:space="preserve">fire </w:t>
      </w:r>
      <w:r w:rsidR="00646F9B">
        <w:t xml:space="preserve">arter af småhvaler hvor der </w:t>
      </w:r>
      <w:r w:rsidR="00B41DED">
        <w:t>er en fangst</w:t>
      </w:r>
      <w:r w:rsidR="00D82243">
        <w:t>,</w:t>
      </w:r>
      <w:r w:rsidR="00B41DED">
        <w:t xml:space="preserve"> men ingen </w:t>
      </w:r>
      <w:r w:rsidR="00646F9B">
        <w:t>regelmæssig vurdering af bæredygtigheden af fangsten</w:t>
      </w:r>
      <w:r w:rsidR="00D82243">
        <w:t xml:space="preserve">. Disse </w:t>
      </w:r>
      <w:r w:rsidR="009B4C6D">
        <w:t xml:space="preserve">arter er </w:t>
      </w:r>
      <w:r w:rsidR="00B41DED">
        <w:t>marsvin, grindehval, hvidnæse</w:t>
      </w:r>
      <w:r w:rsidR="00D82243">
        <w:t>t delfin og spækhugger</w:t>
      </w:r>
      <w:r w:rsidR="00646F9B">
        <w:t xml:space="preserve">. </w:t>
      </w:r>
      <w:r w:rsidR="00D82243">
        <w:t xml:space="preserve">For disse arter </w:t>
      </w:r>
      <w:r w:rsidR="009B4C6D">
        <w:t>er</w:t>
      </w:r>
      <w:r w:rsidR="00D82243">
        <w:t xml:space="preserve"> fangsten ureguleret, og der er usikkerhed om fangsttal</w:t>
      </w:r>
      <w:r w:rsidR="009B4C6D">
        <w:t>lene</w:t>
      </w:r>
      <w:r w:rsidR="00D82243">
        <w:t xml:space="preserve">. Endvidere foreligger der ikke bestandsopgørelser eller </w:t>
      </w:r>
      <w:r w:rsidR="00334B44">
        <w:t xml:space="preserve">international </w:t>
      </w:r>
      <w:r w:rsidR="00D82243">
        <w:t xml:space="preserve">rådgivning om udnyttelsesniveau. </w:t>
      </w:r>
      <w:r w:rsidR="00334B44">
        <w:t xml:space="preserve">Der er således en høj grad af usikkerhed vedr. status og ikke tilstrækkeligt videnskabeligt grundlag for </w:t>
      </w:r>
      <w:r w:rsidR="00C71981">
        <w:t xml:space="preserve">en </w:t>
      </w:r>
      <w:r w:rsidR="00D82243">
        <w:t xml:space="preserve">NDF for disse arter. </w:t>
      </w:r>
    </w:p>
    <w:p w14:paraId="37877E09" w14:textId="5D4E8C90" w:rsidR="00EC5CCF" w:rsidRDefault="00EC5CCF" w:rsidP="005A6B66">
      <w:pPr>
        <w:spacing w:after="240"/>
      </w:pPr>
      <w:r>
        <w:t xml:space="preserve">I de </w:t>
      </w:r>
      <w:r w:rsidR="004E51C2">
        <w:t xml:space="preserve">første </w:t>
      </w:r>
      <w:r>
        <w:t>erklæringer vurdere</w:t>
      </w:r>
      <w:r w:rsidR="00517EE1">
        <w:t xml:space="preserve">des </w:t>
      </w:r>
      <w:r>
        <w:t>en række forhold</w:t>
      </w:r>
      <w:r w:rsidR="00BF71BC">
        <w:t>,</w:t>
      </w:r>
      <w:r>
        <w:t xml:space="preserve"> der måtte have indflydelse </w:t>
      </w:r>
      <w:r w:rsidR="00230EEC">
        <w:t xml:space="preserve">på </w:t>
      </w:r>
      <w:r>
        <w:t>eksportens betydning for udnyttelsen af de forskellige arter. For narhval, isbjørn og hvalros kan det ikke udelukkes</w:t>
      </w:r>
      <w:r w:rsidR="00230EEC">
        <w:t>,</w:t>
      </w:r>
      <w:r>
        <w:t xml:space="preserve"> at eksporten har en reel in</w:t>
      </w:r>
      <w:r w:rsidR="00C9784E">
        <w:t>d</w:t>
      </w:r>
      <w:r>
        <w:t>flydelse</w:t>
      </w:r>
      <w:r w:rsidR="00C9784E">
        <w:t>,</w:t>
      </w:r>
      <w:r>
        <w:t xml:space="preserve"> da det er økonomisk betydningsfulde produkter</w:t>
      </w:r>
      <w:r w:rsidR="00230EEC">
        <w:t>,</w:t>
      </w:r>
      <w:r>
        <w:t xml:space="preserve"> der eksporteres fra dyrene. Det betyder</w:t>
      </w:r>
      <w:r w:rsidR="009043BC">
        <w:t>,</w:t>
      </w:r>
      <w:r>
        <w:t xml:space="preserve"> at det reelt er bæredygtigheden af den samlede fangst</w:t>
      </w:r>
      <w:r w:rsidR="00230EEC">
        <w:t>,</w:t>
      </w:r>
      <w:r w:rsidR="00AB1E87">
        <w:t xml:space="preserve"> </w:t>
      </w:r>
      <w:r>
        <w:t>der bestemmer</w:t>
      </w:r>
      <w:r w:rsidR="00230EEC">
        <w:t>,</w:t>
      </w:r>
      <w:r w:rsidR="00517EE1">
        <w:t xml:space="preserve"> om der kan afgives en NDF </w:t>
      </w:r>
      <w:r>
        <w:t>erklæring. For hvidhvalen</w:t>
      </w:r>
      <w:r w:rsidR="004B0C6F">
        <w:t xml:space="preserve"> og andre småhvaler </w:t>
      </w:r>
      <w:r w:rsidR="00D52982">
        <w:t xml:space="preserve">er </w:t>
      </w:r>
      <w:r w:rsidR="002C3256">
        <w:t xml:space="preserve">eksporten </w:t>
      </w:r>
      <w:r w:rsidR="00586CDD">
        <w:t xml:space="preserve">af andet end spiselige produkter </w:t>
      </w:r>
      <w:r w:rsidR="00066B5D">
        <w:t xml:space="preserve">formentlig </w:t>
      </w:r>
      <w:r w:rsidR="00517EE1">
        <w:t>ikke en trussel i sig selv. S</w:t>
      </w:r>
      <w:r w:rsidR="002C3256">
        <w:t xml:space="preserve">amme bæredygtighedsprincip </w:t>
      </w:r>
      <w:r w:rsidR="00517EE1">
        <w:t xml:space="preserve">følger dog </w:t>
      </w:r>
      <w:r w:rsidR="002C3256">
        <w:t>for alle arter</w:t>
      </w:r>
      <w:r w:rsidR="00517EE1">
        <w:t xml:space="preserve"> jf. CITES retningslin</w:t>
      </w:r>
      <w:r w:rsidR="009B4C6D">
        <w:t>j</w:t>
      </w:r>
      <w:r w:rsidR="00517EE1">
        <w:t>er</w:t>
      </w:r>
      <w:r w:rsidR="00230EEC">
        <w:t>,</w:t>
      </w:r>
      <w:r w:rsidR="00517EE1">
        <w:t xml:space="preserve"> således at en NDF</w:t>
      </w:r>
      <w:r w:rsidR="002C3256">
        <w:t xml:space="preserve"> erklæring er en </w:t>
      </w:r>
      <w:r w:rsidR="00DB422C">
        <w:t>vurdering</w:t>
      </w:r>
      <w:r w:rsidR="002C3256">
        <w:t xml:space="preserve"> af</w:t>
      </w:r>
      <w:r w:rsidR="00230EEC">
        <w:t>,</w:t>
      </w:r>
      <w:r w:rsidR="002C3256">
        <w:t xml:space="preserve"> at udnyttelsen af arten i Grønland er bæredygtig.</w:t>
      </w:r>
    </w:p>
    <w:p w14:paraId="63FAFA01" w14:textId="31591602" w:rsidR="00F471AD" w:rsidRDefault="00517EE1" w:rsidP="005A6B66">
      <w:pPr>
        <w:spacing w:after="240"/>
      </w:pPr>
      <w:r>
        <w:t>I v</w:t>
      </w:r>
      <w:r w:rsidR="007254AB">
        <w:t>urdering</w:t>
      </w:r>
      <w:r>
        <w:t xml:space="preserve">en af bæredygtighed er det </w:t>
      </w:r>
      <w:r w:rsidR="009B4C6D">
        <w:t xml:space="preserve">vurderet </w:t>
      </w:r>
      <w:r w:rsidR="00D52982">
        <w:t>om den</w:t>
      </w:r>
      <w:r w:rsidR="007254AB">
        <w:t xml:space="preserve"> totale fangst er bæredy</w:t>
      </w:r>
      <w:r w:rsidR="00066B5D">
        <w:t>g</w:t>
      </w:r>
      <w:r w:rsidR="007254AB">
        <w:t xml:space="preserve">tig i </w:t>
      </w:r>
      <w:r w:rsidR="00D52982">
        <w:t xml:space="preserve">forhold til </w:t>
      </w:r>
      <w:r w:rsidR="007254AB">
        <w:t xml:space="preserve">den videnskabelige rådgivning fra </w:t>
      </w:r>
      <w:r w:rsidR="009B4C6D">
        <w:t>IWC</w:t>
      </w:r>
      <w:r w:rsidR="00962901">
        <w:rPr>
          <w:rStyle w:val="Fodnotehenvisning"/>
        </w:rPr>
        <w:footnoteReference w:id="4"/>
      </w:r>
      <w:r w:rsidR="009B4C6D">
        <w:t xml:space="preserve">, </w:t>
      </w:r>
      <w:r w:rsidR="007254AB">
        <w:t>NAMMCO</w:t>
      </w:r>
      <w:r w:rsidR="00642AB0">
        <w:rPr>
          <w:rStyle w:val="Fodnotehenvisning"/>
        </w:rPr>
        <w:footnoteReference w:id="5"/>
      </w:r>
      <w:r w:rsidR="00C42E35">
        <w:t>,</w:t>
      </w:r>
      <w:r w:rsidR="007254AB">
        <w:t xml:space="preserve"> JCNB</w:t>
      </w:r>
      <w:r w:rsidR="00642AB0">
        <w:rPr>
          <w:rStyle w:val="Fodnotehenvisning"/>
        </w:rPr>
        <w:footnoteReference w:id="6"/>
      </w:r>
      <w:r w:rsidR="00403AC4">
        <w:t>, JCPB</w:t>
      </w:r>
      <w:r w:rsidR="00F237FA">
        <w:rPr>
          <w:rStyle w:val="Fodnotehenvisning"/>
        </w:rPr>
        <w:footnoteReference w:id="7"/>
      </w:r>
      <w:r w:rsidR="00334B44">
        <w:t xml:space="preserve"> eller</w:t>
      </w:r>
      <w:r w:rsidR="007639F5">
        <w:t xml:space="preserve"> IUCN/PBSG</w:t>
      </w:r>
      <w:r w:rsidR="00F237FA">
        <w:rPr>
          <w:rStyle w:val="Fodnotehenvisning"/>
        </w:rPr>
        <w:footnoteReference w:id="8"/>
      </w:r>
      <w:r w:rsidR="007254AB">
        <w:t>. Denne vurdering inkluderer dyr</w:t>
      </w:r>
      <w:r w:rsidR="00DB422C">
        <w:t>,</w:t>
      </w:r>
      <w:r w:rsidR="007254AB">
        <w:t xml:space="preserve"> der går tab</w:t>
      </w:r>
      <w:r w:rsidR="009043BC">
        <w:t>t</w:t>
      </w:r>
      <w:r w:rsidR="007254AB">
        <w:t xml:space="preserve"> i jagten</w:t>
      </w:r>
      <w:r>
        <w:t>. D</w:t>
      </w:r>
      <w:r w:rsidR="007254AB">
        <w:t>a der ikke foreligger pålidelige tal for</w:t>
      </w:r>
      <w:r w:rsidR="00230EEC">
        <w:t>,</w:t>
      </w:r>
      <w:r w:rsidR="007254AB">
        <w:t xml:space="preserve"> hvor mange </w:t>
      </w:r>
      <w:r w:rsidR="007639F5">
        <w:t>hvidhval, narhval og hvalrosser</w:t>
      </w:r>
      <w:r>
        <w:t>,</w:t>
      </w:r>
      <w:r w:rsidR="007639F5">
        <w:t xml:space="preserve"> </w:t>
      </w:r>
      <w:r w:rsidR="007254AB">
        <w:t xml:space="preserve">der går </w:t>
      </w:r>
      <w:r>
        <w:t xml:space="preserve">tabt i jagten per år, er </w:t>
      </w:r>
      <w:r w:rsidR="007254AB">
        <w:t>de</w:t>
      </w:r>
      <w:r>
        <w:t>r anvendt de</w:t>
      </w:r>
      <w:r w:rsidR="007254AB">
        <w:t xml:space="preserve"> tabsrater</w:t>
      </w:r>
      <w:r w:rsidR="00230EEC">
        <w:t>,</w:t>
      </w:r>
      <w:r w:rsidR="007254AB">
        <w:t xml:space="preserve"> der ligger til grund for rådgivningen. Selv om nogle af disse tabsrater kan diskuteres, er det vigtigt at bruge de samme tabsrater</w:t>
      </w:r>
      <w:r w:rsidR="00230EEC">
        <w:t>,</w:t>
      </w:r>
      <w:r w:rsidR="007254AB">
        <w:t xml:space="preserve"> </w:t>
      </w:r>
      <w:r w:rsidR="00D52982">
        <w:t xml:space="preserve">når </w:t>
      </w:r>
      <w:r w:rsidR="007254AB">
        <w:t>bæredygtigheden af fangsten skal vurderes. Dette skyldes</w:t>
      </w:r>
      <w:r w:rsidR="00230EEC">
        <w:t>,</w:t>
      </w:r>
      <w:r w:rsidR="007254AB">
        <w:t xml:space="preserve"> at et overvurderet historisk tab </w:t>
      </w:r>
      <w:r w:rsidR="00066B5D">
        <w:t>også kan give en overvurdering af den fremtidige bæredygtige udnyttelse.</w:t>
      </w:r>
      <w:r w:rsidR="00F471AD">
        <w:t xml:space="preserve"> Ligeledes skal disse fangsttal inkludere dyr</w:t>
      </w:r>
      <w:r w:rsidR="00230EEC">
        <w:t>,</w:t>
      </w:r>
      <w:r w:rsidR="00F471AD">
        <w:t xml:space="preserve"> der er fanget uden for kvoten; det være sig f.eks. isbjørne</w:t>
      </w:r>
      <w:r w:rsidR="00230EEC">
        <w:t>,</w:t>
      </w:r>
      <w:r w:rsidR="00F471AD">
        <w:t xml:space="preserve"> der</w:t>
      </w:r>
      <w:r w:rsidR="00EA3256">
        <w:t xml:space="preserve"> er</w:t>
      </w:r>
      <w:r w:rsidR="00F471AD">
        <w:t xml:space="preserve"> nedlagt i selvforsvar, eller hvaler</w:t>
      </w:r>
      <w:r w:rsidR="00230EEC">
        <w:t>,</w:t>
      </w:r>
      <w:r w:rsidR="00F471AD">
        <w:t xml:space="preserve"> der aflives</w:t>
      </w:r>
      <w:r w:rsidR="00230EEC">
        <w:t>,</w:t>
      </w:r>
      <w:r w:rsidR="00F471AD">
        <w:t xml:space="preserve"> fordi de har viklet sig ind i garn.</w:t>
      </w:r>
      <w:r w:rsidR="002A07B4">
        <w:t xml:space="preserve"> Hvaler</w:t>
      </w:r>
      <w:r w:rsidR="00EA3256">
        <w:t>,</w:t>
      </w:r>
      <w:r w:rsidR="002A07B4">
        <w:t xml:space="preserve"> der fanges fra sassat</w:t>
      </w:r>
      <w:r w:rsidR="00EA3256">
        <w:t>,</w:t>
      </w:r>
      <w:r w:rsidR="002A07B4">
        <w:t xml:space="preserve"> er ikke medregnet, da disse ses som en del af den naturlige dødelighed.</w:t>
      </w:r>
    </w:p>
    <w:p w14:paraId="2E55F74B" w14:textId="07F93240" w:rsidR="003D1065" w:rsidRDefault="00EE34F9" w:rsidP="005A6B66">
      <w:pPr>
        <w:spacing w:after="240"/>
      </w:pPr>
      <w:r>
        <w:t>Den videnskabelige rådgivning søger typisk at fastlægge en gennemsnitlig årlig fangst</w:t>
      </w:r>
      <w:r w:rsidR="00230EEC">
        <w:t>,</w:t>
      </w:r>
      <w:r>
        <w:t xml:space="preserve"> der anses som bæredygtig over en årrække, og som sådan er der rum for</w:t>
      </w:r>
      <w:r w:rsidR="00230EEC">
        <w:t>,</w:t>
      </w:r>
      <w:r>
        <w:t xml:space="preserve"> at den årlige fangst kan svinge omkring dette niveau. Dette er også typisk afspejlet i kvoterne</w:t>
      </w:r>
      <w:r w:rsidR="00230EEC">
        <w:t>,</w:t>
      </w:r>
      <w:r>
        <w:t xml:space="preserve"> hvor det for en del arter er muligt at overføre fangst mellem år</w:t>
      </w:r>
      <w:r w:rsidR="00230EEC">
        <w:t>,</w:t>
      </w:r>
      <w:r>
        <w:t xml:space="preserve"> således at en overfa</w:t>
      </w:r>
      <w:r w:rsidR="003A388B">
        <w:t>n</w:t>
      </w:r>
      <w:r>
        <w:t xml:space="preserve">gst et år kan fratrækkes næste </w:t>
      </w:r>
      <w:r w:rsidR="000C2361">
        <w:t>å</w:t>
      </w:r>
      <w:r>
        <w:t xml:space="preserve">rs kvote, mens en underfangst kan øge kvoten det næste år. </w:t>
      </w:r>
      <w:r w:rsidR="00AA35EC">
        <w:t xml:space="preserve">For at undgå </w:t>
      </w:r>
      <w:r w:rsidR="003463B9">
        <w:t>år t</w:t>
      </w:r>
      <w:r w:rsidR="00517EE1">
        <w:t xml:space="preserve">il år svingninger i NDF </w:t>
      </w:r>
      <w:r>
        <w:t>vurdere</w:t>
      </w:r>
      <w:r w:rsidR="00517EE1">
        <w:t>s</w:t>
      </w:r>
      <w:r>
        <w:t xml:space="preserve"> bæredygtighed</w:t>
      </w:r>
      <w:r w:rsidR="00066B5D">
        <w:t>en</w:t>
      </w:r>
      <w:r w:rsidR="00D52982">
        <w:t xml:space="preserve"> </w:t>
      </w:r>
      <w:r w:rsidR="00517EE1">
        <w:t xml:space="preserve">derfor </w:t>
      </w:r>
      <w:r>
        <w:t>over en t</w:t>
      </w:r>
      <w:r w:rsidR="00517EE1">
        <w:t xml:space="preserve">re årig periode, hvor </w:t>
      </w:r>
      <w:r w:rsidR="00DB422C">
        <w:t xml:space="preserve">det vurderes om den </w:t>
      </w:r>
      <w:r w:rsidR="000E3FAA">
        <w:t>totale fangst</w:t>
      </w:r>
      <w:r>
        <w:t xml:space="preserve"> de sidste tre år har været mindre end eller lig med den totale anbefalede fangst</w:t>
      </w:r>
      <w:r w:rsidR="00066B5D">
        <w:t xml:space="preserve"> (svarende til </w:t>
      </w:r>
      <w:r w:rsidR="00517EE1">
        <w:t>d</w:t>
      </w:r>
      <w:r w:rsidR="00066B5D">
        <w:t xml:space="preserve">en videnskabelige rådgivning fra </w:t>
      </w:r>
      <w:r w:rsidR="009B4C6D">
        <w:t xml:space="preserve">IWC, </w:t>
      </w:r>
      <w:r w:rsidR="00066B5D">
        <w:t>NAMMCO</w:t>
      </w:r>
      <w:r w:rsidR="007D1228">
        <w:t>,</w:t>
      </w:r>
      <w:r w:rsidR="00066B5D">
        <w:t xml:space="preserve"> JCNB</w:t>
      </w:r>
      <w:r w:rsidR="00921D94">
        <w:t>, JCPB</w:t>
      </w:r>
      <w:r w:rsidR="007D1228">
        <w:t xml:space="preserve"> og IUCN/PBSG</w:t>
      </w:r>
      <w:r w:rsidR="00066B5D">
        <w:t>)</w:t>
      </w:r>
      <w:r>
        <w:t xml:space="preserve"> </w:t>
      </w:r>
      <w:r w:rsidR="00C42E35">
        <w:t>for</w:t>
      </w:r>
      <w:r>
        <w:t xml:space="preserve"> den samme periode.</w:t>
      </w:r>
      <w:r w:rsidR="00DB422C">
        <w:t xml:space="preserve"> Bemærk at den tre-årlige vurdering er til for at reducere uhensigtsmæssige svingninger</w:t>
      </w:r>
      <w:r w:rsidR="00585FD2">
        <w:t>,</w:t>
      </w:r>
      <w:r w:rsidR="00DB422C">
        <w:t xml:space="preserve"> og det er således ikke altid et absolut krav for</w:t>
      </w:r>
      <w:r w:rsidR="009748A8">
        <w:t>,</w:t>
      </w:r>
      <w:r w:rsidR="00DB422C">
        <w:t xml:space="preserve"> at der kan afgives en NDF erklæring.</w:t>
      </w:r>
    </w:p>
    <w:p w14:paraId="32FCC68C" w14:textId="0E6E4AA2" w:rsidR="000C2361" w:rsidRDefault="003D1065" w:rsidP="003463B9">
      <w:pPr>
        <w:spacing w:after="240"/>
      </w:pPr>
      <w:r>
        <w:t>Sidst men ikke mindst</w:t>
      </w:r>
      <w:r w:rsidR="009043BC">
        <w:t>,</w:t>
      </w:r>
      <w:r>
        <w:t xml:space="preserve"> skal vurderingen foretages per bestand, og det er kun</w:t>
      </w:r>
      <w:r w:rsidR="00230EEC">
        <w:t>,</w:t>
      </w:r>
      <w:r>
        <w:t xml:space="preserve"> hvis fangsten </w:t>
      </w:r>
      <w:r w:rsidR="00D52982">
        <w:t xml:space="preserve">er bæredygtig for </w:t>
      </w:r>
      <w:r>
        <w:t>alle bestande i Grønland</w:t>
      </w:r>
      <w:r w:rsidR="00517EE1">
        <w:t xml:space="preserve"> for en art</w:t>
      </w:r>
      <w:r w:rsidR="009043BC">
        <w:t>,</w:t>
      </w:r>
      <w:r>
        <w:t xml:space="preserve"> at der </w:t>
      </w:r>
      <w:r w:rsidR="00517EE1">
        <w:t>kan afgives en NDF</w:t>
      </w:r>
      <w:r>
        <w:t xml:space="preserve"> erklæring</w:t>
      </w:r>
      <w:r w:rsidR="00517EE1">
        <w:t xml:space="preserve">, idet der i Grønland ikke er et sporingssystem, der kan fastslå fra hvilken bestand, et givet produkt kommer. </w:t>
      </w:r>
      <w:r w:rsidR="003E6C34">
        <w:t>For bestande</w:t>
      </w:r>
      <w:r w:rsidR="00230EEC">
        <w:t>,</w:t>
      </w:r>
      <w:r w:rsidR="003E6C34">
        <w:t xml:space="preserve"> som deles med Canada, er fangst (og tab) i Canada taget med i beregningen</w:t>
      </w:r>
      <w:r w:rsidR="00585FD2">
        <w:t xml:space="preserve"> af bæredygtighed</w:t>
      </w:r>
      <w:r w:rsidR="003E6C34">
        <w:t xml:space="preserve">. </w:t>
      </w:r>
    </w:p>
    <w:p w14:paraId="603F863E" w14:textId="77777777" w:rsidR="008D34B5" w:rsidRDefault="008D34B5">
      <w:pPr>
        <w:spacing w:after="200" w:line="276" w:lineRule="auto"/>
        <w:rPr>
          <w:rFonts w:asciiTheme="majorHAnsi" w:eastAsiaTheme="majorEastAsia" w:hAnsiTheme="majorHAnsi" w:cstheme="majorBidi"/>
          <w:b/>
          <w:bCs/>
          <w:color w:val="365F91" w:themeColor="accent1" w:themeShade="BF"/>
          <w:sz w:val="32"/>
          <w:szCs w:val="28"/>
        </w:rPr>
      </w:pPr>
      <w:r>
        <w:br w:type="page"/>
      </w:r>
    </w:p>
    <w:p w14:paraId="2659BB95" w14:textId="7C9E4EBC" w:rsidR="003D1065" w:rsidRDefault="004613F9" w:rsidP="004613F9">
      <w:pPr>
        <w:pStyle w:val="Overskrift1"/>
      </w:pPr>
      <w:r>
        <w:t>Narhval</w:t>
      </w:r>
    </w:p>
    <w:p w14:paraId="5B7E0AFC" w14:textId="3ED38EE7" w:rsidR="000116AF" w:rsidRDefault="00F97725" w:rsidP="004613F9">
      <w:pPr>
        <w:spacing w:before="240"/>
      </w:pPr>
      <w:r>
        <w:t xml:space="preserve">Perioden </w:t>
      </w:r>
      <w:r w:rsidR="003A388B">
        <w:t xml:space="preserve">fra </w:t>
      </w:r>
      <w:r>
        <w:t>201</w:t>
      </w:r>
      <w:r w:rsidR="00BC29BC">
        <w:t>4</w:t>
      </w:r>
      <w:r>
        <w:t xml:space="preserve"> til 2015 er dækket af</w:t>
      </w:r>
      <w:r w:rsidR="000E3FAA">
        <w:t xml:space="preserve"> 201</w:t>
      </w:r>
      <w:r w:rsidR="003A388B">
        <w:t>2</w:t>
      </w:r>
      <w:r w:rsidR="00230EEC">
        <w:t>-</w:t>
      </w:r>
      <w:r w:rsidR="000E3FAA">
        <w:t>rådgivningen fra</w:t>
      </w:r>
      <w:r>
        <w:t xml:space="preserve"> </w:t>
      </w:r>
      <w:r w:rsidR="001360A7">
        <w:t>NAMMCO/JCNB</w:t>
      </w:r>
      <w:r w:rsidR="00BC29BC">
        <w:t>, mens 2016 falder ind under 2015-rådgivningen.</w:t>
      </w:r>
      <w:r>
        <w:t xml:space="preserve"> F</w:t>
      </w:r>
      <w:r w:rsidR="001360A7">
        <w:t>or Vest</w:t>
      </w:r>
      <w:r w:rsidR="00241C5C">
        <w:t>g</w:t>
      </w:r>
      <w:r w:rsidR="001360A7">
        <w:t>rønland</w:t>
      </w:r>
      <w:r w:rsidR="00700E89">
        <w:t xml:space="preserve"> skal det bemærkes</w:t>
      </w:r>
      <w:r w:rsidR="00230EEC">
        <w:t>,</w:t>
      </w:r>
      <w:r w:rsidR="00700E89">
        <w:t xml:space="preserve"> at </w:t>
      </w:r>
      <w:r w:rsidR="00BC29BC">
        <w:t>2014/2015-</w:t>
      </w:r>
      <w:r>
        <w:t>rådgivning</w:t>
      </w:r>
      <w:r w:rsidR="00066B5D">
        <w:t xml:space="preserve">en </w:t>
      </w:r>
      <w:r w:rsidR="00C42E35">
        <w:t>var speciel</w:t>
      </w:r>
      <w:r w:rsidR="00230EEC">
        <w:t>,</w:t>
      </w:r>
      <w:r w:rsidR="00C42E35">
        <w:t xml:space="preserve"> da den kun var </w:t>
      </w:r>
      <w:r w:rsidR="00700E89">
        <w:t>for fangede dyr</w:t>
      </w:r>
      <w:r w:rsidR="007E220C">
        <w:t xml:space="preserve"> (angivet med * i tabellen)</w:t>
      </w:r>
      <w:r w:rsidR="003A388B">
        <w:t>, mens rådgivningen for</w:t>
      </w:r>
      <w:r w:rsidR="00255F10">
        <w:t xml:space="preserve"> </w:t>
      </w:r>
      <w:r w:rsidR="00BC29BC">
        <w:t xml:space="preserve">2016 og </w:t>
      </w:r>
      <w:r w:rsidR="00255F10">
        <w:t>Øst</w:t>
      </w:r>
      <w:r w:rsidR="00241C5C">
        <w:t>g</w:t>
      </w:r>
      <w:r w:rsidR="00700E89">
        <w:t xml:space="preserve">rønland var </w:t>
      </w:r>
      <w:r w:rsidR="00255F10">
        <w:t>inklusiv</w:t>
      </w:r>
      <w:r w:rsidR="00230EEC">
        <w:t>e</w:t>
      </w:r>
      <w:r w:rsidR="00255F10">
        <w:t xml:space="preserve"> tab</w:t>
      </w:r>
      <w:r w:rsidR="000E3FAA">
        <w:t xml:space="preserve">. </w:t>
      </w:r>
      <w:r w:rsidR="00066B5D">
        <w:t>Det vides ikke</w:t>
      </w:r>
      <w:r w:rsidR="00230EEC">
        <w:t>,</w:t>
      </w:r>
      <w:r w:rsidR="00066B5D">
        <w:t xml:space="preserve"> i hvilket omfang tab er inkluderet i den rapporterede fangst</w:t>
      </w:r>
      <w:r w:rsidR="00B06156">
        <w:t>, og udgangspunktet er her</w:t>
      </w:r>
      <w:r w:rsidR="009043BC">
        <w:t>,</w:t>
      </w:r>
      <w:r w:rsidR="00B06156">
        <w:t xml:space="preserve"> at den ikke er inkluderet.</w:t>
      </w:r>
      <w:r w:rsidR="008039BD">
        <w:t xml:space="preserve"> </w:t>
      </w:r>
      <w:r w:rsidR="003463B9">
        <w:t xml:space="preserve">Det bør i øvrigt bemærkes at rådgivningen for narhval i Vestgrønland er udregnet per fangstområde baseret på fordelingen af fangster og bestande i </w:t>
      </w:r>
      <w:r w:rsidR="004B77E9">
        <w:t>C</w:t>
      </w:r>
      <w:r w:rsidR="003463B9">
        <w:t>anada og Vestgrønland. Der skal således ikke i NDF</w:t>
      </w:r>
      <w:r w:rsidR="008D34B5">
        <w:t>´</w:t>
      </w:r>
      <w:r w:rsidR="003463B9">
        <w:t xml:space="preserve">en tages højde for fangster i </w:t>
      </w:r>
      <w:r w:rsidR="004B77E9">
        <w:t>C</w:t>
      </w:r>
      <w:r w:rsidR="003463B9">
        <w:t>anada, da dette allerede er indregnet i rådgivningen.</w:t>
      </w:r>
    </w:p>
    <w:p w14:paraId="0D7846CF" w14:textId="77777777" w:rsidR="000E3FAA" w:rsidRDefault="000E3FAA" w:rsidP="004613F9">
      <w:pPr>
        <w:spacing w:before="240"/>
      </w:pPr>
      <w:r>
        <w:t>Samlet set kan der ikk</w:t>
      </w:r>
      <w:r w:rsidR="00517EE1">
        <w:t xml:space="preserve">e gives en NDF </w:t>
      </w:r>
      <w:r>
        <w:t>erklæring for narhval i Grønland, da fangst</w:t>
      </w:r>
      <w:r w:rsidR="003A388B">
        <w:t xml:space="preserve">en overstiger </w:t>
      </w:r>
      <w:r>
        <w:t>rådgivningen</w:t>
      </w:r>
      <w:r w:rsidR="003A388B">
        <w:t xml:space="preserve"> </w:t>
      </w:r>
      <w:r w:rsidR="00EB44E8">
        <w:t>i Melville Bugt</w:t>
      </w:r>
      <w:r w:rsidR="00AE3D16">
        <w:t>, Ittoqqorto</w:t>
      </w:r>
      <w:r w:rsidR="00C41F13">
        <w:t>o</w:t>
      </w:r>
      <w:r w:rsidR="00AE3D16">
        <w:t>rmiit</w:t>
      </w:r>
      <w:r w:rsidR="00EB44E8">
        <w:t xml:space="preserve"> og </w:t>
      </w:r>
      <w:r w:rsidR="00646F9B">
        <w:t>Tasiilaq</w:t>
      </w:r>
      <w:r>
        <w:t>.</w:t>
      </w:r>
    </w:p>
    <w:p w14:paraId="5A411DD5" w14:textId="77777777" w:rsidR="001360A7" w:rsidRDefault="000E3FAA" w:rsidP="004613F9">
      <w:pPr>
        <w:spacing w:before="240"/>
      </w:pPr>
      <w:r>
        <w:t xml:space="preserve"> </w:t>
      </w:r>
    </w:p>
    <w:tbl>
      <w:tblPr>
        <w:tblStyle w:val="Lysskygge-farve1"/>
        <w:tblW w:w="4620" w:type="pct"/>
        <w:tblLook w:val="04A0" w:firstRow="1" w:lastRow="0" w:firstColumn="1" w:lastColumn="0" w:noHBand="0" w:noVBand="1"/>
      </w:tblPr>
      <w:tblGrid>
        <w:gridCol w:w="1225"/>
        <w:gridCol w:w="1533"/>
        <w:gridCol w:w="1649"/>
        <w:gridCol w:w="856"/>
        <w:gridCol w:w="1143"/>
        <w:gridCol w:w="783"/>
        <w:gridCol w:w="1402"/>
      </w:tblGrid>
      <w:tr w:rsidR="00BB16F7" w14:paraId="7CB663AD" w14:textId="77777777" w:rsidTr="001B26D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0F225BC9" w14:textId="77777777" w:rsidR="00BB16F7" w:rsidRPr="00484CBC" w:rsidRDefault="00BB16F7">
            <w:pPr>
              <w:rPr>
                <w:rFonts w:asciiTheme="minorHAnsi" w:eastAsiaTheme="minorEastAsia" w:hAnsiTheme="minorHAnsi" w:cstheme="minorBidi"/>
                <w:color w:val="auto"/>
                <w:szCs w:val="22"/>
              </w:rPr>
            </w:pPr>
            <w:r w:rsidRPr="00484CBC">
              <w:rPr>
                <w:rFonts w:asciiTheme="minorHAnsi" w:eastAsiaTheme="minorEastAsia" w:hAnsiTheme="minorHAnsi" w:cstheme="minorBidi"/>
                <w:color w:val="auto"/>
                <w:szCs w:val="22"/>
              </w:rPr>
              <w:t>Etah</w:t>
            </w:r>
          </w:p>
          <w:p w14:paraId="3427D49C" w14:textId="77777777" w:rsidR="00BB16F7" w:rsidRPr="00D07419" w:rsidRDefault="00BB16F7">
            <w:pPr>
              <w:rPr>
                <w:rFonts w:asciiTheme="minorHAnsi" w:eastAsiaTheme="minorEastAsia" w:hAnsiTheme="minorHAnsi" w:cstheme="minorBidi"/>
                <w:b w:val="0"/>
                <w:color w:val="auto"/>
                <w:szCs w:val="22"/>
              </w:rPr>
            </w:pPr>
          </w:p>
        </w:tc>
        <w:tc>
          <w:tcPr>
            <w:tcW w:w="892" w:type="pct"/>
          </w:tcPr>
          <w:p w14:paraId="77142D0D" w14:textId="77777777" w:rsidR="00BB16F7" w:rsidRPr="00D07419" w:rsidRDefault="00BB16F7" w:rsidP="002E11E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Rapporteret</w:t>
            </w:r>
          </w:p>
          <w:p w14:paraId="5C113765" w14:textId="77777777" w:rsidR="00BB16F7" w:rsidRPr="00D07419" w:rsidRDefault="00BB16F7" w:rsidP="002E11E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960" w:type="pct"/>
          </w:tcPr>
          <w:p w14:paraId="1B86F848" w14:textId="77777777" w:rsidR="00BB16F7" w:rsidRPr="00D07419" w:rsidRDefault="00BB16F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Urapporteret</w:t>
            </w:r>
          </w:p>
          <w:p w14:paraId="23EFACC9" w14:textId="77777777" w:rsidR="00BB16F7" w:rsidRPr="00D07419" w:rsidRDefault="00BB16F7" w:rsidP="002E11E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498" w:type="pct"/>
          </w:tcPr>
          <w:p w14:paraId="3CC47190" w14:textId="77777777" w:rsidR="00BB16F7" w:rsidRPr="00D07419" w:rsidRDefault="00BB16F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Pr>
                <w:rFonts w:asciiTheme="minorHAnsi" w:eastAsiaTheme="minorEastAsia" w:hAnsiTheme="minorHAnsi" w:cstheme="minorBidi"/>
                <w:b w:val="0"/>
                <w:color w:val="auto"/>
                <w:szCs w:val="22"/>
              </w:rPr>
              <w:t xml:space="preserve">7.5 </w:t>
            </w:r>
            <w:r w:rsidRPr="00D07419">
              <w:rPr>
                <w:rFonts w:asciiTheme="minorHAnsi" w:eastAsiaTheme="minorEastAsia" w:hAnsiTheme="minorHAnsi" w:cstheme="minorBidi"/>
                <w:b w:val="0"/>
                <w:color w:val="auto"/>
                <w:szCs w:val="22"/>
              </w:rPr>
              <w:t>%</w:t>
            </w:r>
          </w:p>
          <w:p w14:paraId="57457348" w14:textId="77777777" w:rsidR="00BB16F7" w:rsidRPr="00D07419" w:rsidRDefault="00BB16F7" w:rsidP="002E11E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tab</w:t>
            </w:r>
          </w:p>
        </w:tc>
        <w:tc>
          <w:tcPr>
            <w:tcW w:w="665" w:type="pct"/>
          </w:tcPr>
          <w:p w14:paraId="1E64866C" w14:textId="77777777" w:rsidR="00BB16F7" w:rsidRPr="00D07419" w:rsidRDefault="00BB16F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Anden</w:t>
            </w:r>
          </w:p>
          <w:p w14:paraId="11859AFA" w14:textId="77777777" w:rsidR="00BB16F7" w:rsidRPr="00D07419" w:rsidRDefault="003463B9" w:rsidP="002E11E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w:t>
            </w:r>
            <w:r w:rsidR="00BB16F7" w:rsidRPr="00D07419">
              <w:rPr>
                <w:rFonts w:asciiTheme="minorHAnsi" w:eastAsiaTheme="minorEastAsia" w:hAnsiTheme="minorHAnsi" w:cstheme="minorBidi"/>
                <w:b w:val="0"/>
                <w:color w:val="auto"/>
                <w:szCs w:val="22"/>
              </w:rPr>
              <w:t>flivning</w:t>
            </w:r>
          </w:p>
        </w:tc>
        <w:tc>
          <w:tcPr>
            <w:tcW w:w="456" w:type="pct"/>
          </w:tcPr>
          <w:p w14:paraId="4D973612" w14:textId="77777777" w:rsidR="00BB16F7" w:rsidRDefault="00BB16F7" w:rsidP="00255F1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3D0234CB" w14:textId="77777777" w:rsidR="00BB16F7" w:rsidRPr="00255F10" w:rsidRDefault="00BB16F7" w:rsidP="00255F10">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Total</w:t>
            </w:r>
          </w:p>
        </w:tc>
        <w:tc>
          <w:tcPr>
            <w:tcW w:w="816" w:type="pct"/>
          </w:tcPr>
          <w:p w14:paraId="18B02AF0" w14:textId="77777777" w:rsidR="00BB16F7" w:rsidRPr="00D07419" w:rsidRDefault="00BB16F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396BEED6" w14:textId="77777777" w:rsidR="00BB16F7" w:rsidRPr="00E56F11" w:rsidRDefault="00BB16F7" w:rsidP="00E56F1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vertAlign w:val="superscript"/>
              </w:rPr>
            </w:pPr>
            <w:r w:rsidRPr="00D07419">
              <w:rPr>
                <w:rFonts w:asciiTheme="minorHAnsi" w:eastAsiaTheme="minorEastAsia" w:hAnsiTheme="minorHAnsi" w:cstheme="minorBidi"/>
                <w:szCs w:val="22"/>
              </w:rPr>
              <w:t>Rådgivning</w:t>
            </w:r>
            <w:r w:rsidR="00E56F11">
              <w:rPr>
                <w:rFonts w:asciiTheme="minorHAnsi" w:eastAsiaTheme="minorEastAsia" w:hAnsiTheme="minorHAnsi" w:cstheme="minorBidi"/>
                <w:szCs w:val="22"/>
                <w:vertAlign w:val="superscript"/>
              </w:rPr>
              <w:t>1</w:t>
            </w:r>
          </w:p>
        </w:tc>
      </w:tr>
      <w:tr w:rsidR="00BB16F7" w14:paraId="1F99C0C3" w14:textId="77777777" w:rsidTr="001B26D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7C1ADF2D" w14:textId="77777777" w:rsidR="00BB16F7" w:rsidRPr="00D07419" w:rsidRDefault="00BB16F7">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4</w:t>
            </w:r>
          </w:p>
        </w:tc>
        <w:tc>
          <w:tcPr>
            <w:tcW w:w="892" w:type="pct"/>
          </w:tcPr>
          <w:p w14:paraId="2DF0C0F4" w14:textId="77777777" w:rsidR="00BB16F7" w:rsidRDefault="008F48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960" w:type="pct"/>
          </w:tcPr>
          <w:p w14:paraId="08271102" w14:textId="77777777" w:rsidR="00BB16F7" w:rsidRDefault="008F48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498" w:type="pct"/>
          </w:tcPr>
          <w:p w14:paraId="5DC42E53" w14:textId="77777777" w:rsidR="00BB16F7" w:rsidRDefault="008F48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665" w:type="pct"/>
          </w:tcPr>
          <w:p w14:paraId="4A32139F" w14:textId="77777777" w:rsidR="00BB16F7" w:rsidRDefault="008F48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456" w:type="pct"/>
          </w:tcPr>
          <w:p w14:paraId="7E27A30F" w14:textId="77777777" w:rsidR="00BB16F7" w:rsidRDefault="008F48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816" w:type="pct"/>
          </w:tcPr>
          <w:p w14:paraId="51A770A8" w14:textId="77777777" w:rsidR="00BB16F7" w:rsidRDefault="00BB16F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r w:rsidR="00BB16F7" w14:paraId="27BCBC30" w14:textId="77777777" w:rsidTr="001B26D4">
        <w:trPr>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6884C99C" w14:textId="77777777" w:rsidR="00BB16F7" w:rsidRPr="00D07419" w:rsidRDefault="00BB16F7">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5</w:t>
            </w:r>
          </w:p>
        </w:tc>
        <w:tc>
          <w:tcPr>
            <w:tcW w:w="892" w:type="pct"/>
          </w:tcPr>
          <w:p w14:paraId="49375E88" w14:textId="77777777" w:rsidR="00BB16F7" w:rsidRDefault="008F48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960" w:type="pct"/>
          </w:tcPr>
          <w:p w14:paraId="6C3260B8" w14:textId="77777777" w:rsidR="00BB16F7" w:rsidRDefault="008F48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498" w:type="pct"/>
          </w:tcPr>
          <w:p w14:paraId="63B56076" w14:textId="77777777" w:rsidR="00BB16F7" w:rsidRDefault="008F48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665" w:type="pct"/>
          </w:tcPr>
          <w:p w14:paraId="4042852E" w14:textId="77777777" w:rsidR="00BB16F7" w:rsidRDefault="008F48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456" w:type="pct"/>
          </w:tcPr>
          <w:p w14:paraId="52FC0848" w14:textId="77777777" w:rsidR="00BB16F7" w:rsidRDefault="008F48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816" w:type="pct"/>
          </w:tcPr>
          <w:p w14:paraId="29D69271" w14:textId="77777777" w:rsidR="00BB16F7" w:rsidRDefault="00BB16F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r w:rsidR="00BB16F7" w14:paraId="550BC912" w14:textId="77777777" w:rsidTr="001B26D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0E8C4DB0" w14:textId="77777777" w:rsidR="00BB16F7" w:rsidRPr="00D07419" w:rsidRDefault="00BB16F7">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6</w:t>
            </w:r>
          </w:p>
        </w:tc>
        <w:tc>
          <w:tcPr>
            <w:tcW w:w="892" w:type="pct"/>
          </w:tcPr>
          <w:p w14:paraId="378D2105" w14:textId="77777777" w:rsidR="00BB16F7" w:rsidRDefault="0035247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960" w:type="pct"/>
          </w:tcPr>
          <w:p w14:paraId="3C388C9E" w14:textId="77777777" w:rsidR="00BB16F7" w:rsidRDefault="000116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498" w:type="pct"/>
          </w:tcPr>
          <w:p w14:paraId="60774E08" w14:textId="77777777" w:rsidR="00BB16F7" w:rsidRDefault="000116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665" w:type="pct"/>
          </w:tcPr>
          <w:p w14:paraId="5BF9716E" w14:textId="77777777" w:rsidR="00BB16F7" w:rsidRDefault="0035247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0B8171B7" w14:textId="77777777" w:rsidR="00BB16F7" w:rsidRDefault="0035247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816" w:type="pct"/>
          </w:tcPr>
          <w:p w14:paraId="7FF42A68" w14:textId="77777777" w:rsidR="00BB16F7" w:rsidRDefault="00215161">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5</w:t>
            </w:r>
          </w:p>
        </w:tc>
      </w:tr>
      <w:tr w:rsidR="00F97658" w14:paraId="131F9838" w14:textId="77777777" w:rsidTr="001B26D4">
        <w:trPr>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402DA9F4" w14:textId="77777777" w:rsidR="00F97658" w:rsidRPr="00F97658" w:rsidRDefault="00F97658">
            <w:pPr>
              <w:rPr>
                <w:rFonts w:asciiTheme="minorHAnsi" w:eastAsiaTheme="minorEastAsia" w:hAnsiTheme="minorHAnsi" w:cstheme="minorBidi"/>
                <w:b w:val="0"/>
              </w:rPr>
            </w:pPr>
            <w:r>
              <w:rPr>
                <w:rFonts w:asciiTheme="minorHAnsi" w:eastAsiaTheme="minorEastAsia" w:hAnsiTheme="minorHAnsi" w:cstheme="minorBidi"/>
                <w:b w:val="0"/>
              </w:rPr>
              <w:t>i alt</w:t>
            </w:r>
          </w:p>
        </w:tc>
        <w:tc>
          <w:tcPr>
            <w:tcW w:w="892" w:type="pct"/>
          </w:tcPr>
          <w:p w14:paraId="32DDDD7E" w14:textId="77777777" w:rsidR="00F97658" w:rsidRDefault="0035247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960" w:type="pct"/>
          </w:tcPr>
          <w:p w14:paraId="0486FB2D" w14:textId="77777777" w:rsidR="00F97658" w:rsidRDefault="00F976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498" w:type="pct"/>
          </w:tcPr>
          <w:p w14:paraId="495E9D00" w14:textId="77777777" w:rsidR="00F97658" w:rsidRDefault="00F976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65" w:type="pct"/>
          </w:tcPr>
          <w:p w14:paraId="4DB9F6EB" w14:textId="77777777" w:rsidR="00F97658" w:rsidRDefault="00F976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456" w:type="pct"/>
          </w:tcPr>
          <w:p w14:paraId="7242811D" w14:textId="77777777" w:rsidR="00F97658" w:rsidRDefault="00F9765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816" w:type="pct"/>
          </w:tcPr>
          <w:p w14:paraId="7C603D60" w14:textId="77777777" w:rsidR="00F97658" w:rsidRDefault="0035247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5</w:t>
            </w:r>
          </w:p>
        </w:tc>
      </w:tr>
    </w:tbl>
    <w:p w14:paraId="3E1F5810" w14:textId="1C9D3072" w:rsidR="00484CBC" w:rsidRDefault="001B26D4">
      <w:pPr>
        <w:spacing w:after="200" w:line="276" w:lineRule="auto"/>
      </w:pPr>
      <w:r>
        <w:rPr>
          <w:rStyle w:val="Fodnotehenvisning"/>
        </w:rPr>
        <w:footnoteRef/>
      </w:r>
      <w:r>
        <w:t xml:space="preserve"> </w:t>
      </w:r>
      <w:r w:rsidR="00215161">
        <w:t>Første r</w:t>
      </w:r>
      <w:r>
        <w:t xml:space="preserve">ådgivning for narhvaler i Etah </w:t>
      </w:r>
      <w:r w:rsidR="00215161">
        <w:t xml:space="preserve">er for </w:t>
      </w:r>
      <w:r>
        <w:t>201</w:t>
      </w:r>
      <w:r w:rsidR="00215161">
        <w:t>6</w:t>
      </w:r>
    </w:p>
    <w:p w14:paraId="55583D3C" w14:textId="77777777" w:rsidR="00962901" w:rsidRDefault="00962901">
      <w:pPr>
        <w:spacing w:after="200" w:line="276" w:lineRule="auto"/>
      </w:pPr>
    </w:p>
    <w:tbl>
      <w:tblPr>
        <w:tblStyle w:val="Lysskygge-farve1"/>
        <w:tblW w:w="4620" w:type="pct"/>
        <w:tblLook w:val="04A0" w:firstRow="1" w:lastRow="0" w:firstColumn="1" w:lastColumn="0" w:noHBand="0" w:noVBand="1"/>
      </w:tblPr>
      <w:tblGrid>
        <w:gridCol w:w="1191"/>
        <w:gridCol w:w="1499"/>
        <w:gridCol w:w="1615"/>
        <w:gridCol w:w="822"/>
        <w:gridCol w:w="1109"/>
        <w:gridCol w:w="986"/>
        <w:gridCol w:w="1369"/>
      </w:tblGrid>
      <w:tr w:rsidR="00BB16F7" w14:paraId="7C403454" w14:textId="77777777" w:rsidTr="003971D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6238F3BF" w14:textId="3DEBD98D" w:rsidR="008D34B5" w:rsidRDefault="008D34B5" w:rsidP="00066B5D">
            <w:pPr>
              <w:rPr>
                <w:rFonts w:asciiTheme="minorHAnsi" w:eastAsiaTheme="minorEastAsia" w:hAnsiTheme="minorHAnsi" w:cstheme="minorBidi"/>
                <w:color w:val="auto"/>
                <w:szCs w:val="22"/>
              </w:rPr>
            </w:pPr>
          </w:p>
          <w:p w14:paraId="4447C2BB" w14:textId="2E2B42A4" w:rsidR="00BB16F7" w:rsidRPr="00484CBC" w:rsidRDefault="00BB16F7" w:rsidP="00066B5D">
            <w:pPr>
              <w:rPr>
                <w:rFonts w:asciiTheme="minorHAnsi" w:eastAsiaTheme="minorEastAsia" w:hAnsiTheme="minorHAnsi" w:cstheme="minorBidi"/>
                <w:color w:val="auto"/>
                <w:szCs w:val="22"/>
              </w:rPr>
            </w:pPr>
            <w:r w:rsidRPr="00484CBC">
              <w:rPr>
                <w:rFonts w:asciiTheme="minorHAnsi" w:eastAsiaTheme="minorEastAsia" w:hAnsiTheme="minorHAnsi" w:cstheme="minorBidi"/>
                <w:color w:val="auto"/>
                <w:szCs w:val="22"/>
              </w:rPr>
              <w:t>Inglefield</w:t>
            </w:r>
          </w:p>
          <w:p w14:paraId="10065102" w14:textId="77777777" w:rsidR="00BB16F7" w:rsidRPr="00D07419" w:rsidRDefault="00BB16F7" w:rsidP="00066B5D">
            <w:pPr>
              <w:rPr>
                <w:rFonts w:asciiTheme="minorHAnsi" w:eastAsiaTheme="minorEastAsia" w:hAnsiTheme="minorHAnsi" w:cstheme="minorBidi"/>
                <w:b w:val="0"/>
                <w:color w:val="auto"/>
                <w:szCs w:val="22"/>
              </w:rPr>
            </w:pPr>
            <w:r w:rsidRPr="00484CBC">
              <w:rPr>
                <w:rFonts w:asciiTheme="minorHAnsi" w:eastAsiaTheme="minorEastAsia" w:hAnsiTheme="minorHAnsi" w:cstheme="minorBidi"/>
                <w:color w:val="auto"/>
                <w:szCs w:val="22"/>
              </w:rPr>
              <w:t>Bredning</w:t>
            </w:r>
          </w:p>
        </w:tc>
        <w:tc>
          <w:tcPr>
            <w:tcW w:w="892" w:type="pct"/>
          </w:tcPr>
          <w:p w14:paraId="5D5E81BB"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Rapporteret</w:t>
            </w:r>
          </w:p>
          <w:p w14:paraId="0DA3D221"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960" w:type="pct"/>
          </w:tcPr>
          <w:p w14:paraId="60C104BE"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Urapporteret</w:t>
            </w:r>
          </w:p>
          <w:p w14:paraId="67DFD52C"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498" w:type="pct"/>
          </w:tcPr>
          <w:p w14:paraId="1101E542"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Pr>
                <w:rFonts w:asciiTheme="minorHAnsi" w:eastAsiaTheme="minorEastAsia" w:hAnsiTheme="minorHAnsi" w:cstheme="minorBidi"/>
                <w:b w:val="0"/>
                <w:color w:val="auto"/>
                <w:szCs w:val="22"/>
              </w:rPr>
              <w:t xml:space="preserve">7.5 </w:t>
            </w:r>
            <w:r w:rsidRPr="00D07419">
              <w:rPr>
                <w:rFonts w:asciiTheme="minorHAnsi" w:eastAsiaTheme="minorEastAsia" w:hAnsiTheme="minorHAnsi" w:cstheme="minorBidi"/>
                <w:b w:val="0"/>
                <w:color w:val="auto"/>
                <w:szCs w:val="22"/>
              </w:rPr>
              <w:t>%</w:t>
            </w:r>
          </w:p>
          <w:p w14:paraId="10C4DA83" w14:textId="77777777" w:rsidR="00BB16F7" w:rsidRPr="00D07419" w:rsidRDefault="00215161"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T</w:t>
            </w:r>
            <w:r w:rsidR="00BB16F7" w:rsidRPr="00D07419">
              <w:rPr>
                <w:rFonts w:asciiTheme="minorHAnsi" w:eastAsiaTheme="minorEastAsia" w:hAnsiTheme="minorHAnsi" w:cstheme="minorBidi"/>
                <w:b w:val="0"/>
                <w:color w:val="auto"/>
                <w:szCs w:val="22"/>
              </w:rPr>
              <w:t>ab</w:t>
            </w:r>
          </w:p>
        </w:tc>
        <w:tc>
          <w:tcPr>
            <w:tcW w:w="665" w:type="pct"/>
          </w:tcPr>
          <w:p w14:paraId="6AFF9CA5"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Anden</w:t>
            </w:r>
          </w:p>
          <w:p w14:paraId="6B294399"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aflivning</w:t>
            </w:r>
          </w:p>
        </w:tc>
        <w:tc>
          <w:tcPr>
            <w:tcW w:w="456" w:type="pct"/>
          </w:tcPr>
          <w:p w14:paraId="291346E2"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5EE94CC2" w14:textId="77777777" w:rsidR="00585FD2" w:rsidRDefault="00C42E35">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Fangst</w:t>
            </w:r>
            <w:r w:rsidR="00585FD2">
              <w:rPr>
                <w:rFonts w:asciiTheme="minorHAnsi" w:eastAsiaTheme="minorEastAsia" w:hAnsiTheme="minorHAnsi" w:cstheme="minorBidi"/>
                <w:szCs w:val="22"/>
              </w:rPr>
              <w:t>*</w:t>
            </w:r>
          </w:p>
          <w:p w14:paraId="63932125" w14:textId="563F8BF6" w:rsidR="00585FD2" w:rsidRPr="00D07419" w:rsidRDefault="00585F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 Total</w:t>
            </w:r>
          </w:p>
        </w:tc>
        <w:tc>
          <w:tcPr>
            <w:tcW w:w="816" w:type="pct"/>
          </w:tcPr>
          <w:p w14:paraId="1E6B6880"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1994CB19"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Rådgivning</w:t>
            </w:r>
          </w:p>
        </w:tc>
      </w:tr>
      <w:tr w:rsidR="00C42E35" w14:paraId="59019870" w14:textId="77777777" w:rsidTr="00397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462467D6" w14:textId="77777777" w:rsidR="00BB16F7" w:rsidRPr="00D07419" w:rsidRDefault="00BB16F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4</w:t>
            </w:r>
          </w:p>
        </w:tc>
        <w:tc>
          <w:tcPr>
            <w:tcW w:w="892" w:type="pct"/>
          </w:tcPr>
          <w:p w14:paraId="7DB0572D" w14:textId="77777777" w:rsidR="00BB16F7" w:rsidRDefault="00CE5F8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102</w:t>
            </w:r>
          </w:p>
        </w:tc>
        <w:tc>
          <w:tcPr>
            <w:tcW w:w="960" w:type="pct"/>
          </w:tcPr>
          <w:p w14:paraId="710D62C3" w14:textId="77777777" w:rsidR="00BB16F7" w:rsidRDefault="00877B5D"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2992D824" w14:textId="0A5DA000" w:rsidR="00BB16F7" w:rsidRDefault="002824FD"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CE5F8A">
              <w:rPr>
                <w:rFonts w:asciiTheme="minorHAnsi" w:eastAsiaTheme="minorEastAsia" w:hAnsiTheme="minorHAnsi" w:cstheme="minorBidi"/>
                <w:color w:val="auto"/>
              </w:rPr>
              <w:t>8</w:t>
            </w:r>
            <w:r>
              <w:rPr>
                <w:rFonts w:asciiTheme="minorHAnsi" w:eastAsiaTheme="minorEastAsia" w:hAnsiTheme="minorHAnsi" w:cstheme="minorBidi"/>
                <w:color w:val="auto"/>
              </w:rPr>
              <w:t>)</w:t>
            </w:r>
          </w:p>
        </w:tc>
        <w:tc>
          <w:tcPr>
            <w:tcW w:w="665" w:type="pct"/>
          </w:tcPr>
          <w:p w14:paraId="017A95F4" w14:textId="77777777" w:rsidR="00BB16F7" w:rsidRDefault="00805CAC"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56D75FF2" w14:textId="77777777" w:rsidR="00BB16F7" w:rsidRDefault="00CE5F8A" w:rsidP="00C42E35">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102</w:t>
            </w:r>
            <w:r w:rsidR="007E220C">
              <w:rPr>
                <w:rFonts w:asciiTheme="minorHAnsi" w:eastAsiaTheme="minorEastAsia" w:hAnsiTheme="minorHAnsi" w:cstheme="minorBidi"/>
              </w:rPr>
              <w:t>*</w:t>
            </w:r>
          </w:p>
        </w:tc>
        <w:tc>
          <w:tcPr>
            <w:tcW w:w="816" w:type="pct"/>
          </w:tcPr>
          <w:p w14:paraId="1F88AA7F" w14:textId="77777777" w:rsidR="00BB16F7" w:rsidRDefault="00BB16F7"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85</w:t>
            </w:r>
            <w:r w:rsidR="007E220C">
              <w:rPr>
                <w:rFonts w:asciiTheme="minorHAnsi" w:eastAsiaTheme="minorEastAsia" w:hAnsiTheme="minorHAnsi" w:cstheme="minorBidi"/>
              </w:rPr>
              <w:t>*</w:t>
            </w:r>
          </w:p>
        </w:tc>
      </w:tr>
      <w:tr w:rsidR="00BB16F7" w14:paraId="6A7597C8" w14:textId="77777777" w:rsidTr="003971D3">
        <w:trPr>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2D41D369" w14:textId="77777777" w:rsidR="00BB16F7" w:rsidRPr="00D07419" w:rsidRDefault="00BB16F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5</w:t>
            </w:r>
          </w:p>
        </w:tc>
        <w:tc>
          <w:tcPr>
            <w:tcW w:w="892" w:type="pct"/>
          </w:tcPr>
          <w:p w14:paraId="51582B00" w14:textId="77777777" w:rsidR="00BB16F7" w:rsidRDefault="00CE5F8A" w:rsidP="002659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75</w:t>
            </w:r>
          </w:p>
        </w:tc>
        <w:tc>
          <w:tcPr>
            <w:tcW w:w="960" w:type="pct"/>
          </w:tcPr>
          <w:p w14:paraId="3E768042" w14:textId="77777777" w:rsidR="00BB16F7" w:rsidRDefault="00877B5D"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632334F9" w14:textId="0C49B44E" w:rsidR="00BB16F7" w:rsidRDefault="002824FD"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CE5F8A">
              <w:rPr>
                <w:rFonts w:asciiTheme="minorHAnsi" w:eastAsiaTheme="minorEastAsia" w:hAnsiTheme="minorHAnsi" w:cstheme="minorBidi"/>
                <w:color w:val="auto"/>
              </w:rPr>
              <w:t>6</w:t>
            </w:r>
            <w:r>
              <w:rPr>
                <w:rFonts w:asciiTheme="minorHAnsi" w:eastAsiaTheme="minorEastAsia" w:hAnsiTheme="minorHAnsi" w:cstheme="minorBidi"/>
                <w:color w:val="auto"/>
              </w:rPr>
              <w:t>)</w:t>
            </w:r>
          </w:p>
        </w:tc>
        <w:tc>
          <w:tcPr>
            <w:tcW w:w="665" w:type="pct"/>
          </w:tcPr>
          <w:p w14:paraId="58B41BDB" w14:textId="77777777" w:rsidR="00BB16F7" w:rsidRDefault="00805CAC"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109D93E0" w14:textId="77777777" w:rsidR="00BB16F7" w:rsidRDefault="00CE5F8A" w:rsidP="00C42E3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75</w:t>
            </w:r>
            <w:r w:rsidR="007E220C">
              <w:rPr>
                <w:rFonts w:asciiTheme="minorHAnsi" w:eastAsiaTheme="minorEastAsia" w:hAnsiTheme="minorHAnsi" w:cstheme="minorBidi"/>
              </w:rPr>
              <w:t>*</w:t>
            </w:r>
          </w:p>
        </w:tc>
        <w:tc>
          <w:tcPr>
            <w:tcW w:w="816" w:type="pct"/>
          </w:tcPr>
          <w:p w14:paraId="083EC0C2" w14:textId="77777777" w:rsidR="00BB16F7" w:rsidRDefault="00BB16F7"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85</w:t>
            </w:r>
            <w:r w:rsidR="007E220C">
              <w:rPr>
                <w:rFonts w:asciiTheme="minorHAnsi" w:eastAsiaTheme="minorEastAsia" w:hAnsiTheme="minorHAnsi" w:cstheme="minorBidi"/>
              </w:rPr>
              <w:t>*</w:t>
            </w:r>
          </w:p>
        </w:tc>
      </w:tr>
      <w:tr w:rsidR="00C42E35" w14:paraId="4F2B86C3" w14:textId="77777777" w:rsidTr="003971D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3C4CD489" w14:textId="77777777" w:rsidR="00BB16F7" w:rsidRPr="00D07419" w:rsidRDefault="00BB16F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6</w:t>
            </w:r>
          </w:p>
        </w:tc>
        <w:tc>
          <w:tcPr>
            <w:tcW w:w="892" w:type="pct"/>
          </w:tcPr>
          <w:p w14:paraId="6A824F6D" w14:textId="77777777" w:rsidR="00BB16F7" w:rsidRDefault="00F67046"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81</w:t>
            </w:r>
          </w:p>
        </w:tc>
        <w:tc>
          <w:tcPr>
            <w:tcW w:w="960" w:type="pct"/>
          </w:tcPr>
          <w:p w14:paraId="242E09A0" w14:textId="77777777" w:rsidR="00BB16F7"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153410BA" w14:textId="77777777" w:rsidR="00BB16F7" w:rsidRDefault="00194A15"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w:t>
            </w:r>
          </w:p>
        </w:tc>
        <w:tc>
          <w:tcPr>
            <w:tcW w:w="665" w:type="pct"/>
          </w:tcPr>
          <w:p w14:paraId="09725BA2" w14:textId="77777777" w:rsidR="00BB16F7"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033201D7" w14:textId="77777777" w:rsidR="00BB16F7" w:rsidRDefault="00194A15"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87</w:t>
            </w:r>
          </w:p>
        </w:tc>
        <w:tc>
          <w:tcPr>
            <w:tcW w:w="816" w:type="pct"/>
          </w:tcPr>
          <w:p w14:paraId="307D3A1F" w14:textId="77777777" w:rsidR="00BB16F7" w:rsidRDefault="00215161"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98</w:t>
            </w:r>
          </w:p>
        </w:tc>
      </w:tr>
      <w:tr w:rsidR="003971D3" w14:paraId="7B424C6F" w14:textId="77777777" w:rsidTr="003971D3">
        <w:trPr>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53DDCCF7" w14:textId="77777777" w:rsidR="003971D3" w:rsidRPr="003971D3" w:rsidRDefault="005D57A9" w:rsidP="00066B5D">
            <w:pPr>
              <w:rPr>
                <w:rFonts w:asciiTheme="minorHAnsi" w:eastAsiaTheme="minorEastAsia" w:hAnsiTheme="minorHAnsi" w:cstheme="minorBidi"/>
                <w:b w:val="0"/>
              </w:rPr>
            </w:pPr>
            <w:r>
              <w:rPr>
                <w:rFonts w:asciiTheme="minorHAnsi" w:eastAsiaTheme="minorEastAsia" w:hAnsiTheme="minorHAnsi" w:cstheme="minorBidi"/>
                <w:b w:val="0"/>
              </w:rPr>
              <w:t>i</w:t>
            </w:r>
            <w:r w:rsidR="003971D3" w:rsidRPr="003971D3">
              <w:rPr>
                <w:rFonts w:asciiTheme="minorHAnsi" w:eastAsiaTheme="minorEastAsia" w:hAnsiTheme="minorHAnsi" w:cstheme="minorBidi"/>
                <w:b w:val="0"/>
              </w:rPr>
              <w:t xml:space="preserve"> alt</w:t>
            </w:r>
          </w:p>
        </w:tc>
        <w:tc>
          <w:tcPr>
            <w:tcW w:w="892" w:type="pct"/>
          </w:tcPr>
          <w:p w14:paraId="7F0D0FAB" w14:textId="77777777" w:rsidR="003971D3" w:rsidRDefault="00215161"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258</w:t>
            </w:r>
          </w:p>
        </w:tc>
        <w:tc>
          <w:tcPr>
            <w:tcW w:w="960" w:type="pct"/>
          </w:tcPr>
          <w:p w14:paraId="331F2190" w14:textId="77777777" w:rsidR="003971D3" w:rsidRDefault="00215161"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98" w:type="pct"/>
          </w:tcPr>
          <w:p w14:paraId="4C575054" w14:textId="77777777" w:rsidR="003971D3" w:rsidRDefault="00215161"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20</w:t>
            </w:r>
          </w:p>
        </w:tc>
        <w:tc>
          <w:tcPr>
            <w:tcW w:w="665" w:type="pct"/>
          </w:tcPr>
          <w:p w14:paraId="4CB17723" w14:textId="77777777" w:rsidR="003971D3" w:rsidRDefault="00215161"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56" w:type="pct"/>
          </w:tcPr>
          <w:p w14:paraId="4F3464A3" w14:textId="77777777" w:rsidR="003971D3" w:rsidRDefault="00215161"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264</w:t>
            </w:r>
          </w:p>
        </w:tc>
        <w:tc>
          <w:tcPr>
            <w:tcW w:w="816" w:type="pct"/>
          </w:tcPr>
          <w:p w14:paraId="2805A2C6" w14:textId="77777777" w:rsidR="003971D3" w:rsidRDefault="00215161"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268</w:t>
            </w:r>
          </w:p>
        </w:tc>
      </w:tr>
    </w:tbl>
    <w:p w14:paraId="397B3B9B" w14:textId="1C266B11" w:rsidR="00BA2342" w:rsidRDefault="00BA2342">
      <w:pPr>
        <w:spacing w:after="200" w:line="276" w:lineRule="auto"/>
      </w:pPr>
    </w:p>
    <w:tbl>
      <w:tblPr>
        <w:tblStyle w:val="Lysskygge-farve1"/>
        <w:tblW w:w="4620" w:type="pct"/>
        <w:tblLook w:val="04A0" w:firstRow="1" w:lastRow="0" w:firstColumn="1" w:lastColumn="0" w:noHBand="0" w:noVBand="1"/>
      </w:tblPr>
      <w:tblGrid>
        <w:gridCol w:w="1189"/>
        <w:gridCol w:w="1500"/>
        <w:gridCol w:w="1615"/>
        <w:gridCol w:w="822"/>
        <w:gridCol w:w="1110"/>
        <w:gridCol w:w="986"/>
        <w:gridCol w:w="1369"/>
      </w:tblGrid>
      <w:tr w:rsidR="00BB16F7" w14:paraId="528E067A" w14:textId="77777777" w:rsidTr="00B9058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2" w:type="pct"/>
            <w:noWrap/>
          </w:tcPr>
          <w:p w14:paraId="47AA77C2" w14:textId="77777777" w:rsidR="00BB16F7" w:rsidRPr="00484CBC" w:rsidRDefault="00BB16F7" w:rsidP="00066B5D">
            <w:pPr>
              <w:rPr>
                <w:rFonts w:asciiTheme="minorHAnsi" w:eastAsiaTheme="minorEastAsia" w:hAnsiTheme="minorHAnsi" w:cstheme="minorBidi"/>
                <w:color w:val="auto"/>
                <w:szCs w:val="22"/>
              </w:rPr>
            </w:pPr>
            <w:r w:rsidRPr="00484CBC">
              <w:rPr>
                <w:rFonts w:asciiTheme="minorHAnsi" w:eastAsiaTheme="minorEastAsia" w:hAnsiTheme="minorHAnsi" w:cstheme="minorBidi"/>
                <w:color w:val="auto"/>
                <w:szCs w:val="22"/>
              </w:rPr>
              <w:t>Melville</w:t>
            </w:r>
          </w:p>
          <w:p w14:paraId="71C12E22" w14:textId="77777777" w:rsidR="00BB16F7" w:rsidRPr="00D07419" w:rsidRDefault="00BB16F7" w:rsidP="00066B5D">
            <w:pPr>
              <w:rPr>
                <w:rFonts w:asciiTheme="minorHAnsi" w:eastAsiaTheme="minorEastAsia" w:hAnsiTheme="minorHAnsi" w:cstheme="minorBidi"/>
                <w:b w:val="0"/>
                <w:color w:val="auto"/>
                <w:szCs w:val="22"/>
              </w:rPr>
            </w:pPr>
            <w:r w:rsidRPr="00484CBC">
              <w:rPr>
                <w:rFonts w:asciiTheme="minorHAnsi" w:eastAsiaTheme="minorEastAsia" w:hAnsiTheme="minorHAnsi" w:cstheme="minorBidi"/>
                <w:color w:val="auto"/>
                <w:szCs w:val="22"/>
              </w:rPr>
              <w:t>Bugt</w:t>
            </w:r>
          </w:p>
        </w:tc>
        <w:tc>
          <w:tcPr>
            <w:tcW w:w="893" w:type="pct"/>
          </w:tcPr>
          <w:p w14:paraId="1B13B455"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Rapporteret</w:t>
            </w:r>
          </w:p>
          <w:p w14:paraId="5DF9DC98"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960" w:type="pct"/>
          </w:tcPr>
          <w:p w14:paraId="5590AA81"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Urapporteret</w:t>
            </w:r>
          </w:p>
          <w:p w14:paraId="29E9F74C"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498" w:type="pct"/>
          </w:tcPr>
          <w:p w14:paraId="0FC0EFAF"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15</w:t>
            </w:r>
            <w:r>
              <w:rPr>
                <w:rFonts w:asciiTheme="minorHAnsi" w:eastAsiaTheme="minorEastAsia" w:hAnsiTheme="minorHAnsi" w:cstheme="minorBidi"/>
                <w:b w:val="0"/>
                <w:color w:val="auto"/>
                <w:szCs w:val="22"/>
              </w:rPr>
              <w:t xml:space="preserve"> </w:t>
            </w:r>
            <w:r w:rsidRPr="00D07419">
              <w:rPr>
                <w:rFonts w:asciiTheme="minorHAnsi" w:eastAsiaTheme="minorEastAsia" w:hAnsiTheme="minorHAnsi" w:cstheme="minorBidi"/>
                <w:b w:val="0"/>
                <w:color w:val="auto"/>
                <w:szCs w:val="22"/>
              </w:rPr>
              <w:t>%</w:t>
            </w:r>
          </w:p>
          <w:p w14:paraId="77B7D494"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tab</w:t>
            </w:r>
          </w:p>
        </w:tc>
        <w:tc>
          <w:tcPr>
            <w:tcW w:w="665" w:type="pct"/>
          </w:tcPr>
          <w:p w14:paraId="626320F5"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Anden</w:t>
            </w:r>
          </w:p>
          <w:p w14:paraId="0FF44620"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aflivning</w:t>
            </w:r>
          </w:p>
        </w:tc>
        <w:tc>
          <w:tcPr>
            <w:tcW w:w="456" w:type="pct"/>
          </w:tcPr>
          <w:p w14:paraId="2932FB6A"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6D7DFFAA" w14:textId="77777777" w:rsidR="00585FD2" w:rsidRDefault="00BB208C" w:rsidP="00BB208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Fangst</w:t>
            </w:r>
            <w:r w:rsidR="00585FD2">
              <w:rPr>
                <w:rFonts w:asciiTheme="minorHAnsi" w:eastAsiaTheme="minorEastAsia" w:hAnsiTheme="minorHAnsi" w:cstheme="minorBidi"/>
                <w:szCs w:val="22"/>
              </w:rPr>
              <w:t>*</w:t>
            </w:r>
          </w:p>
          <w:p w14:paraId="23E3D76B" w14:textId="4D308395" w:rsidR="00BB16F7" w:rsidRPr="00D07419" w:rsidRDefault="00585FD2" w:rsidP="00BB208C">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 Total</w:t>
            </w:r>
          </w:p>
        </w:tc>
        <w:tc>
          <w:tcPr>
            <w:tcW w:w="816" w:type="pct"/>
          </w:tcPr>
          <w:p w14:paraId="76CBE967"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07C603D7"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Rådgivning</w:t>
            </w:r>
          </w:p>
        </w:tc>
      </w:tr>
      <w:tr w:rsidR="00BB16F7" w14:paraId="0F33C99F" w14:textId="77777777" w:rsidTr="00B905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2" w:type="pct"/>
            <w:noWrap/>
          </w:tcPr>
          <w:p w14:paraId="2D9B5914" w14:textId="77777777" w:rsidR="00BB16F7" w:rsidRPr="00D07419" w:rsidRDefault="00BB16F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4</w:t>
            </w:r>
          </w:p>
        </w:tc>
        <w:tc>
          <w:tcPr>
            <w:tcW w:w="893" w:type="pct"/>
          </w:tcPr>
          <w:p w14:paraId="3BB5172D" w14:textId="77777777" w:rsidR="00BB16F7" w:rsidRDefault="00CE5F8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113</w:t>
            </w:r>
          </w:p>
        </w:tc>
        <w:tc>
          <w:tcPr>
            <w:tcW w:w="960" w:type="pct"/>
          </w:tcPr>
          <w:p w14:paraId="2D46FB0E" w14:textId="77777777" w:rsidR="00BB16F7" w:rsidRDefault="00877B5D"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171A1C88" w14:textId="1C26BD82" w:rsidR="00BB16F7" w:rsidRDefault="004F7224"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5B5ED4">
              <w:rPr>
                <w:rFonts w:asciiTheme="minorHAnsi" w:eastAsiaTheme="minorEastAsia" w:hAnsiTheme="minorHAnsi" w:cstheme="minorBidi"/>
                <w:color w:val="auto"/>
              </w:rPr>
              <w:t>1</w:t>
            </w:r>
            <w:r w:rsidR="00CE5F8A">
              <w:rPr>
                <w:rFonts w:asciiTheme="minorHAnsi" w:eastAsiaTheme="minorEastAsia" w:hAnsiTheme="minorHAnsi" w:cstheme="minorBidi"/>
                <w:color w:val="auto"/>
              </w:rPr>
              <w:t>7</w:t>
            </w:r>
            <w:r>
              <w:rPr>
                <w:rFonts w:asciiTheme="minorHAnsi" w:eastAsiaTheme="minorEastAsia" w:hAnsiTheme="minorHAnsi" w:cstheme="minorBidi"/>
                <w:color w:val="auto"/>
              </w:rPr>
              <w:t>)</w:t>
            </w:r>
          </w:p>
        </w:tc>
        <w:tc>
          <w:tcPr>
            <w:tcW w:w="665" w:type="pct"/>
          </w:tcPr>
          <w:p w14:paraId="5FC55C14" w14:textId="77777777" w:rsidR="00BB16F7" w:rsidRDefault="00805CAC"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316A60D4" w14:textId="77777777" w:rsidR="00BB16F7" w:rsidRDefault="00CE5F8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113</w:t>
            </w:r>
            <w:r w:rsidR="007E220C">
              <w:rPr>
                <w:rFonts w:asciiTheme="minorHAnsi" w:eastAsiaTheme="minorEastAsia" w:hAnsiTheme="minorHAnsi" w:cstheme="minorBidi"/>
              </w:rPr>
              <w:t>*</w:t>
            </w:r>
          </w:p>
        </w:tc>
        <w:tc>
          <w:tcPr>
            <w:tcW w:w="816" w:type="pct"/>
          </w:tcPr>
          <w:p w14:paraId="59117EA1" w14:textId="77777777" w:rsidR="00BB16F7" w:rsidRDefault="00BB16F7"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81</w:t>
            </w:r>
            <w:r w:rsidR="007E220C">
              <w:rPr>
                <w:rFonts w:asciiTheme="minorHAnsi" w:eastAsiaTheme="minorEastAsia" w:hAnsiTheme="minorHAnsi" w:cstheme="minorBidi"/>
              </w:rPr>
              <w:t>*</w:t>
            </w:r>
          </w:p>
        </w:tc>
      </w:tr>
      <w:tr w:rsidR="00BB16F7" w14:paraId="7E10E82E" w14:textId="77777777" w:rsidTr="00B9058D">
        <w:trPr>
          <w:trHeight w:val="315"/>
        </w:trPr>
        <w:tc>
          <w:tcPr>
            <w:cnfStyle w:val="001000000000" w:firstRow="0" w:lastRow="0" w:firstColumn="1" w:lastColumn="0" w:oddVBand="0" w:evenVBand="0" w:oddHBand="0" w:evenHBand="0" w:firstRowFirstColumn="0" w:firstRowLastColumn="0" w:lastRowFirstColumn="0" w:lastRowLastColumn="0"/>
            <w:tcW w:w="712" w:type="pct"/>
            <w:noWrap/>
          </w:tcPr>
          <w:p w14:paraId="50CA9826" w14:textId="77777777" w:rsidR="00BB16F7" w:rsidRPr="00D07419" w:rsidRDefault="00BB16F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5</w:t>
            </w:r>
          </w:p>
        </w:tc>
        <w:tc>
          <w:tcPr>
            <w:tcW w:w="893" w:type="pct"/>
          </w:tcPr>
          <w:p w14:paraId="073BDD46" w14:textId="77777777" w:rsidR="00BB16F7" w:rsidRDefault="00CE5F8A" w:rsidP="002659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71</w:t>
            </w:r>
          </w:p>
        </w:tc>
        <w:tc>
          <w:tcPr>
            <w:tcW w:w="960" w:type="pct"/>
          </w:tcPr>
          <w:p w14:paraId="1EA47663" w14:textId="77777777" w:rsidR="00BB16F7" w:rsidRDefault="00877B5D"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265E7109" w14:textId="73410A54" w:rsidR="00BB16F7" w:rsidRDefault="004F7224"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5B5ED4">
              <w:rPr>
                <w:rFonts w:asciiTheme="minorHAnsi" w:eastAsiaTheme="minorEastAsia" w:hAnsiTheme="minorHAnsi" w:cstheme="minorBidi"/>
                <w:color w:val="auto"/>
              </w:rPr>
              <w:t>1</w:t>
            </w:r>
            <w:r w:rsidR="00CE5F8A">
              <w:rPr>
                <w:rFonts w:asciiTheme="minorHAnsi" w:eastAsiaTheme="minorEastAsia" w:hAnsiTheme="minorHAnsi" w:cstheme="minorBidi"/>
                <w:color w:val="auto"/>
              </w:rPr>
              <w:t>1</w:t>
            </w:r>
            <w:r>
              <w:rPr>
                <w:rFonts w:asciiTheme="minorHAnsi" w:eastAsiaTheme="minorEastAsia" w:hAnsiTheme="minorHAnsi" w:cstheme="minorBidi"/>
                <w:color w:val="auto"/>
              </w:rPr>
              <w:t>)</w:t>
            </w:r>
          </w:p>
        </w:tc>
        <w:tc>
          <w:tcPr>
            <w:tcW w:w="665" w:type="pct"/>
          </w:tcPr>
          <w:p w14:paraId="10231B2C" w14:textId="77777777" w:rsidR="00BB16F7" w:rsidRDefault="00805CAC"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2DD6239A" w14:textId="77777777" w:rsidR="00BB16F7" w:rsidRDefault="00CE5F8A"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71</w:t>
            </w:r>
            <w:r w:rsidR="007E220C">
              <w:rPr>
                <w:rFonts w:asciiTheme="minorHAnsi" w:eastAsiaTheme="minorEastAsia" w:hAnsiTheme="minorHAnsi" w:cstheme="minorBidi"/>
              </w:rPr>
              <w:t>*</w:t>
            </w:r>
          </w:p>
        </w:tc>
        <w:tc>
          <w:tcPr>
            <w:tcW w:w="816" w:type="pct"/>
          </w:tcPr>
          <w:p w14:paraId="0B20A2C4" w14:textId="77777777" w:rsidR="00BB16F7" w:rsidRDefault="00BB16F7"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81</w:t>
            </w:r>
            <w:r w:rsidR="007E220C">
              <w:rPr>
                <w:rFonts w:asciiTheme="minorHAnsi" w:eastAsiaTheme="minorEastAsia" w:hAnsiTheme="minorHAnsi" w:cstheme="minorBidi"/>
              </w:rPr>
              <w:t>*</w:t>
            </w:r>
          </w:p>
        </w:tc>
      </w:tr>
      <w:tr w:rsidR="00BB16F7" w14:paraId="29D2114F" w14:textId="77777777" w:rsidTr="00B905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2" w:type="pct"/>
            <w:noWrap/>
          </w:tcPr>
          <w:p w14:paraId="69A828A4" w14:textId="77777777" w:rsidR="00BB16F7" w:rsidRPr="00D07419" w:rsidRDefault="00BB16F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6</w:t>
            </w:r>
          </w:p>
        </w:tc>
        <w:tc>
          <w:tcPr>
            <w:tcW w:w="893" w:type="pct"/>
          </w:tcPr>
          <w:p w14:paraId="732C0633" w14:textId="77777777" w:rsidR="00BB16F7" w:rsidRDefault="00F67046"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91</w:t>
            </w:r>
          </w:p>
        </w:tc>
        <w:tc>
          <w:tcPr>
            <w:tcW w:w="960" w:type="pct"/>
          </w:tcPr>
          <w:p w14:paraId="7AF6BE92" w14:textId="77777777" w:rsidR="00BB16F7"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66F9E48B" w14:textId="77777777" w:rsidR="00BB16F7" w:rsidRDefault="00194A15"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14</w:t>
            </w:r>
          </w:p>
        </w:tc>
        <w:tc>
          <w:tcPr>
            <w:tcW w:w="665" w:type="pct"/>
          </w:tcPr>
          <w:p w14:paraId="1BC18BEE" w14:textId="77777777" w:rsidR="00BB16F7"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6B21DE5C" w14:textId="77777777" w:rsidR="00BB16F7" w:rsidRDefault="00194A15"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105</w:t>
            </w:r>
          </w:p>
        </w:tc>
        <w:tc>
          <w:tcPr>
            <w:tcW w:w="816" w:type="pct"/>
          </w:tcPr>
          <w:p w14:paraId="0D5C5268" w14:textId="77777777" w:rsidR="00BB16F7" w:rsidRDefault="00215161"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70</w:t>
            </w:r>
          </w:p>
        </w:tc>
      </w:tr>
      <w:tr w:rsidR="003971D3" w14:paraId="7A517D17" w14:textId="77777777" w:rsidTr="00B9058D">
        <w:trPr>
          <w:trHeight w:val="315"/>
        </w:trPr>
        <w:tc>
          <w:tcPr>
            <w:cnfStyle w:val="001000000000" w:firstRow="0" w:lastRow="0" w:firstColumn="1" w:lastColumn="0" w:oddVBand="0" w:evenVBand="0" w:oddHBand="0" w:evenHBand="0" w:firstRowFirstColumn="0" w:firstRowLastColumn="0" w:lastRowFirstColumn="0" w:lastRowLastColumn="0"/>
            <w:tcW w:w="712" w:type="pct"/>
            <w:noWrap/>
          </w:tcPr>
          <w:p w14:paraId="7AEEE002" w14:textId="77777777" w:rsidR="003971D3" w:rsidRPr="003971D3" w:rsidRDefault="005D57A9" w:rsidP="00066B5D">
            <w:pPr>
              <w:rPr>
                <w:rFonts w:asciiTheme="minorHAnsi" w:eastAsiaTheme="minorEastAsia" w:hAnsiTheme="minorHAnsi" w:cstheme="minorBidi"/>
                <w:b w:val="0"/>
              </w:rPr>
            </w:pPr>
            <w:r>
              <w:rPr>
                <w:rFonts w:asciiTheme="minorHAnsi" w:eastAsiaTheme="minorEastAsia" w:hAnsiTheme="minorHAnsi" w:cstheme="minorBidi"/>
                <w:b w:val="0"/>
              </w:rPr>
              <w:t>i</w:t>
            </w:r>
            <w:r w:rsidR="003971D3">
              <w:rPr>
                <w:rFonts w:asciiTheme="minorHAnsi" w:eastAsiaTheme="minorEastAsia" w:hAnsiTheme="minorHAnsi" w:cstheme="minorBidi"/>
                <w:b w:val="0"/>
              </w:rPr>
              <w:t xml:space="preserve"> alt</w:t>
            </w:r>
          </w:p>
        </w:tc>
        <w:tc>
          <w:tcPr>
            <w:tcW w:w="893" w:type="pct"/>
          </w:tcPr>
          <w:p w14:paraId="3914A48A" w14:textId="77777777" w:rsidR="003971D3" w:rsidRDefault="00215161"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275</w:t>
            </w:r>
          </w:p>
        </w:tc>
        <w:tc>
          <w:tcPr>
            <w:tcW w:w="960" w:type="pct"/>
          </w:tcPr>
          <w:p w14:paraId="67F906B1" w14:textId="77777777" w:rsidR="003971D3" w:rsidRDefault="003971D3"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98" w:type="pct"/>
          </w:tcPr>
          <w:p w14:paraId="578295DB" w14:textId="77777777" w:rsidR="003971D3" w:rsidRDefault="00215161"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42</w:t>
            </w:r>
          </w:p>
        </w:tc>
        <w:tc>
          <w:tcPr>
            <w:tcW w:w="665" w:type="pct"/>
          </w:tcPr>
          <w:p w14:paraId="47BBDF6E" w14:textId="77777777" w:rsidR="003971D3" w:rsidRDefault="003971D3"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56" w:type="pct"/>
          </w:tcPr>
          <w:p w14:paraId="0D7755E2" w14:textId="77777777" w:rsidR="003971D3" w:rsidRDefault="00215161"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289</w:t>
            </w:r>
          </w:p>
        </w:tc>
        <w:tc>
          <w:tcPr>
            <w:tcW w:w="816" w:type="pct"/>
          </w:tcPr>
          <w:p w14:paraId="36266730" w14:textId="77777777" w:rsidR="003971D3" w:rsidRDefault="00215161"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232</w:t>
            </w:r>
          </w:p>
        </w:tc>
      </w:tr>
    </w:tbl>
    <w:p w14:paraId="2338E7B3" w14:textId="77777777" w:rsidR="00484CBC" w:rsidRDefault="00484CBC">
      <w:pPr>
        <w:spacing w:after="200" w:line="276" w:lineRule="auto"/>
      </w:pPr>
    </w:p>
    <w:tbl>
      <w:tblPr>
        <w:tblStyle w:val="Lysskygge-farve1"/>
        <w:tblW w:w="4630" w:type="pct"/>
        <w:tblLook w:val="04A0" w:firstRow="1" w:lastRow="0" w:firstColumn="1" w:lastColumn="0" w:noHBand="0" w:noVBand="1"/>
      </w:tblPr>
      <w:tblGrid>
        <w:gridCol w:w="1516"/>
        <w:gridCol w:w="1439"/>
        <w:gridCol w:w="1554"/>
        <w:gridCol w:w="760"/>
        <w:gridCol w:w="1048"/>
        <w:gridCol w:w="986"/>
        <w:gridCol w:w="1307"/>
      </w:tblGrid>
      <w:tr w:rsidR="00BB16F7" w14:paraId="0961815B" w14:textId="77777777" w:rsidTr="005D57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9" w:type="pct"/>
            <w:noWrap/>
          </w:tcPr>
          <w:p w14:paraId="591D79BE" w14:textId="77777777" w:rsidR="00BB16F7" w:rsidRPr="00484CBC" w:rsidRDefault="00BB16F7" w:rsidP="00066B5D">
            <w:pPr>
              <w:rPr>
                <w:rFonts w:asciiTheme="minorHAnsi" w:eastAsiaTheme="minorEastAsia" w:hAnsiTheme="minorHAnsi" w:cstheme="minorBidi"/>
                <w:color w:val="auto"/>
                <w:szCs w:val="22"/>
              </w:rPr>
            </w:pPr>
            <w:r w:rsidRPr="00484CBC">
              <w:rPr>
                <w:rFonts w:asciiTheme="minorHAnsi" w:eastAsiaTheme="minorEastAsia" w:hAnsiTheme="minorHAnsi" w:cstheme="minorBidi"/>
                <w:color w:val="auto"/>
                <w:szCs w:val="22"/>
              </w:rPr>
              <w:t>U</w:t>
            </w:r>
            <w:r w:rsidR="00066B5D">
              <w:rPr>
                <w:rFonts w:asciiTheme="minorHAnsi" w:eastAsiaTheme="minorEastAsia" w:hAnsiTheme="minorHAnsi" w:cstheme="minorBidi"/>
                <w:color w:val="auto"/>
                <w:szCs w:val="22"/>
              </w:rPr>
              <w:t>u</w:t>
            </w:r>
            <w:r w:rsidRPr="00484CBC">
              <w:rPr>
                <w:rFonts w:asciiTheme="minorHAnsi" w:eastAsiaTheme="minorEastAsia" w:hAnsiTheme="minorHAnsi" w:cstheme="minorBidi"/>
                <w:color w:val="auto"/>
                <w:szCs w:val="22"/>
              </w:rPr>
              <w:t>mmannaq</w:t>
            </w:r>
          </w:p>
        </w:tc>
        <w:tc>
          <w:tcPr>
            <w:tcW w:w="878" w:type="pct"/>
          </w:tcPr>
          <w:p w14:paraId="5AD4654F"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Rapporteret</w:t>
            </w:r>
          </w:p>
          <w:p w14:paraId="213F6822"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945" w:type="pct"/>
          </w:tcPr>
          <w:p w14:paraId="188AB16D"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Urapporteret</w:t>
            </w:r>
          </w:p>
          <w:p w14:paraId="1BC56A9B"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484" w:type="pct"/>
          </w:tcPr>
          <w:p w14:paraId="7F978523"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15</w:t>
            </w:r>
            <w:r>
              <w:rPr>
                <w:rFonts w:asciiTheme="minorHAnsi" w:eastAsiaTheme="minorEastAsia" w:hAnsiTheme="minorHAnsi" w:cstheme="minorBidi"/>
                <w:b w:val="0"/>
                <w:color w:val="auto"/>
                <w:szCs w:val="22"/>
              </w:rPr>
              <w:t xml:space="preserve"> </w:t>
            </w:r>
            <w:r w:rsidRPr="00D07419">
              <w:rPr>
                <w:rFonts w:asciiTheme="minorHAnsi" w:eastAsiaTheme="minorEastAsia" w:hAnsiTheme="minorHAnsi" w:cstheme="minorBidi"/>
                <w:b w:val="0"/>
                <w:color w:val="auto"/>
                <w:szCs w:val="22"/>
              </w:rPr>
              <w:t>%</w:t>
            </w:r>
          </w:p>
          <w:p w14:paraId="72DB7ED5"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tab</w:t>
            </w:r>
          </w:p>
        </w:tc>
        <w:tc>
          <w:tcPr>
            <w:tcW w:w="651" w:type="pct"/>
          </w:tcPr>
          <w:p w14:paraId="699D999A"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Anden</w:t>
            </w:r>
          </w:p>
          <w:p w14:paraId="5E1A9C42"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aflivning</w:t>
            </w:r>
          </w:p>
        </w:tc>
        <w:tc>
          <w:tcPr>
            <w:tcW w:w="442" w:type="pct"/>
          </w:tcPr>
          <w:p w14:paraId="3DE97EB9"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535A9727" w14:textId="77777777" w:rsidR="00BB16F7" w:rsidRDefault="00BB208C"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Fangst</w:t>
            </w:r>
            <w:r w:rsidR="00585FD2">
              <w:rPr>
                <w:rFonts w:asciiTheme="minorHAnsi" w:eastAsiaTheme="minorEastAsia" w:hAnsiTheme="minorHAnsi" w:cstheme="minorBidi"/>
                <w:szCs w:val="22"/>
              </w:rPr>
              <w:t>*</w:t>
            </w:r>
          </w:p>
          <w:p w14:paraId="41AF4484" w14:textId="19F25B87" w:rsidR="00585FD2" w:rsidRPr="00D07419" w:rsidRDefault="00585FD2"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 Total</w:t>
            </w:r>
          </w:p>
        </w:tc>
        <w:tc>
          <w:tcPr>
            <w:tcW w:w="801" w:type="pct"/>
          </w:tcPr>
          <w:p w14:paraId="7BE45677"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01D5FD42"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Rådgivning</w:t>
            </w:r>
          </w:p>
        </w:tc>
      </w:tr>
      <w:tr w:rsidR="00BB16F7" w14:paraId="58340E71" w14:textId="77777777" w:rsidTr="005D57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9" w:type="pct"/>
            <w:noWrap/>
          </w:tcPr>
          <w:p w14:paraId="7CAC3242" w14:textId="77777777" w:rsidR="00BB16F7" w:rsidRPr="00D07419" w:rsidRDefault="00BB16F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4</w:t>
            </w:r>
          </w:p>
        </w:tc>
        <w:tc>
          <w:tcPr>
            <w:tcW w:w="878" w:type="pct"/>
          </w:tcPr>
          <w:p w14:paraId="751119A1" w14:textId="77777777" w:rsidR="00BB16F7" w:rsidRDefault="00CE5F8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69</w:t>
            </w:r>
          </w:p>
        </w:tc>
        <w:tc>
          <w:tcPr>
            <w:tcW w:w="945" w:type="pct"/>
          </w:tcPr>
          <w:p w14:paraId="2C113CBC" w14:textId="77777777" w:rsidR="00BB16F7" w:rsidRDefault="00877B5D"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84" w:type="pct"/>
          </w:tcPr>
          <w:p w14:paraId="2C53CCE4" w14:textId="357BBB6D" w:rsidR="00BB16F7" w:rsidRDefault="004F7224"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5B5ED4">
              <w:rPr>
                <w:rFonts w:asciiTheme="minorHAnsi" w:eastAsiaTheme="minorEastAsia" w:hAnsiTheme="minorHAnsi" w:cstheme="minorBidi"/>
                <w:color w:val="auto"/>
              </w:rPr>
              <w:t>1</w:t>
            </w:r>
            <w:r w:rsidR="00CE5F8A">
              <w:rPr>
                <w:rFonts w:asciiTheme="minorHAnsi" w:eastAsiaTheme="minorEastAsia" w:hAnsiTheme="minorHAnsi" w:cstheme="minorBidi"/>
                <w:color w:val="auto"/>
              </w:rPr>
              <w:t>0</w:t>
            </w:r>
            <w:r>
              <w:rPr>
                <w:rFonts w:asciiTheme="minorHAnsi" w:eastAsiaTheme="minorEastAsia" w:hAnsiTheme="minorHAnsi" w:cstheme="minorBidi"/>
                <w:color w:val="auto"/>
              </w:rPr>
              <w:t>)</w:t>
            </w:r>
          </w:p>
        </w:tc>
        <w:tc>
          <w:tcPr>
            <w:tcW w:w="651" w:type="pct"/>
          </w:tcPr>
          <w:p w14:paraId="25E82371" w14:textId="77777777" w:rsidR="00BB16F7" w:rsidRDefault="00805CAC"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42" w:type="pct"/>
          </w:tcPr>
          <w:p w14:paraId="55A46D02" w14:textId="77777777" w:rsidR="00BB16F7" w:rsidRDefault="00CE5F8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69</w:t>
            </w:r>
            <w:r w:rsidR="007E220C">
              <w:rPr>
                <w:rFonts w:asciiTheme="minorHAnsi" w:eastAsiaTheme="minorEastAsia" w:hAnsiTheme="minorHAnsi" w:cstheme="minorBidi"/>
              </w:rPr>
              <w:t>*</w:t>
            </w:r>
          </w:p>
        </w:tc>
        <w:tc>
          <w:tcPr>
            <w:tcW w:w="801" w:type="pct"/>
          </w:tcPr>
          <w:p w14:paraId="1FF6C018" w14:textId="77777777" w:rsidR="00BB16F7" w:rsidRDefault="00BB16F7"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85</w:t>
            </w:r>
            <w:r w:rsidR="007E220C">
              <w:rPr>
                <w:rFonts w:asciiTheme="minorHAnsi" w:eastAsiaTheme="minorEastAsia" w:hAnsiTheme="minorHAnsi" w:cstheme="minorBidi"/>
              </w:rPr>
              <w:t>*</w:t>
            </w:r>
          </w:p>
        </w:tc>
      </w:tr>
      <w:tr w:rsidR="00BB16F7" w14:paraId="4FC0B4E8" w14:textId="77777777" w:rsidTr="005D57A9">
        <w:trPr>
          <w:trHeight w:val="315"/>
        </w:trPr>
        <w:tc>
          <w:tcPr>
            <w:cnfStyle w:val="001000000000" w:firstRow="0" w:lastRow="0" w:firstColumn="1" w:lastColumn="0" w:oddVBand="0" w:evenVBand="0" w:oddHBand="0" w:evenHBand="0" w:firstRowFirstColumn="0" w:firstRowLastColumn="0" w:lastRowFirstColumn="0" w:lastRowLastColumn="0"/>
            <w:tcW w:w="799" w:type="pct"/>
            <w:noWrap/>
          </w:tcPr>
          <w:p w14:paraId="601AE7F4" w14:textId="77777777" w:rsidR="00BB16F7" w:rsidRPr="00D07419" w:rsidRDefault="00BB16F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5</w:t>
            </w:r>
          </w:p>
        </w:tc>
        <w:tc>
          <w:tcPr>
            <w:tcW w:w="878" w:type="pct"/>
          </w:tcPr>
          <w:p w14:paraId="034172DB" w14:textId="77777777" w:rsidR="00BB16F7" w:rsidRDefault="00CE5F8A" w:rsidP="002659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42</w:t>
            </w:r>
          </w:p>
        </w:tc>
        <w:tc>
          <w:tcPr>
            <w:tcW w:w="945" w:type="pct"/>
          </w:tcPr>
          <w:p w14:paraId="00DFEEAA" w14:textId="77777777" w:rsidR="00BB16F7" w:rsidRDefault="00877B5D"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84" w:type="pct"/>
          </w:tcPr>
          <w:p w14:paraId="29D39E98" w14:textId="23F536BC" w:rsidR="00BB16F7" w:rsidRDefault="004F7224"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CE5F8A">
              <w:rPr>
                <w:rFonts w:asciiTheme="minorHAnsi" w:eastAsiaTheme="minorEastAsia" w:hAnsiTheme="minorHAnsi" w:cstheme="minorBidi"/>
                <w:color w:val="auto"/>
              </w:rPr>
              <w:t>6</w:t>
            </w:r>
            <w:r>
              <w:rPr>
                <w:rFonts w:asciiTheme="minorHAnsi" w:eastAsiaTheme="minorEastAsia" w:hAnsiTheme="minorHAnsi" w:cstheme="minorBidi"/>
                <w:color w:val="auto"/>
              </w:rPr>
              <w:t>)</w:t>
            </w:r>
          </w:p>
        </w:tc>
        <w:tc>
          <w:tcPr>
            <w:tcW w:w="651" w:type="pct"/>
          </w:tcPr>
          <w:p w14:paraId="3677E57C" w14:textId="77777777" w:rsidR="00BB16F7" w:rsidRDefault="00805CAC"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42" w:type="pct"/>
          </w:tcPr>
          <w:p w14:paraId="30AB9C8E" w14:textId="77777777" w:rsidR="00BB16F7" w:rsidRDefault="00CE5F8A"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4</w:t>
            </w:r>
            <w:r w:rsidR="00215161">
              <w:rPr>
                <w:rFonts w:asciiTheme="minorHAnsi" w:eastAsiaTheme="minorEastAsia" w:hAnsiTheme="minorHAnsi" w:cstheme="minorBidi"/>
              </w:rPr>
              <w:t>2</w:t>
            </w:r>
            <w:r w:rsidR="007E220C">
              <w:rPr>
                <w:rFonts w:asciiTheme="minorHAnsi" w:eastAsiaTheme="minorEastAsia" w:hAnsiTheme="minorHAnsi" w:cstheme="minorBidi"/>
              </w:rPr>
              <w:t>*</w:t>
            </w:r>
          </w:p>
        </w:tc>
        <w:tc>
          <w:tcPr>
            <w:tcW w:w="801" w:type="pct"/>
          </w:tcPr>
          <w:p w14:paraId="42A1AEEE" w14:textId="77777777" w:rsidR="00BB16F7" w:rsidRDefault="00BB16F7"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85</w:t>
            </w:r>
            <w:r w:rsidR="007E220C">
              <w:rPr>
                <w:rFonts w:asciiTheme="minorHAnsi" w:eastAsiaTheme="minorEastAsia" w:hAnsiTheme="minorHAnsi" w:cstheme="minorBidi"/>
              </w:rPr>
              <w:t>*</w:t>
            </w:r>
          </w:p>
        </w:tc>
      </w:tr>
      <w:tr w:rsidR="00BB16F7" w14:paraId="71154567" w14:textId="77777777" w:rsidTr="005D57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9" w:type="pct"/>
            <w:noWrap/>
          </w:tcPr>
          <w:p w14:paraId="2EE8F6F5" w14:textId="77777777" w:rsidR="00BB16F7" w:rsidRPr="00D07419" w:rsidRDefault="00BB16F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6</w:t>
            </w:r>
          </w:p>
        </w:tc>
        <w:tc>
          <w:tcPr>
            <w:tcW w:w="878" w:type="pct"/>
          </w:tcPr>
          <w:p w14:paraId="3A56E434" w14:textId="77777777" w:rsidR="00BB16F7" w:rsidRDefault="00F67046"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120</w:t>
            </w:r>
          </w:p>
        </w:tc>
        <w:tc>
          <w:tcPr>
            <w:tcW w:w="945" w:type="pct"/>
          </w:tcPr>
          <w:p w14:paraId="327D7882" w14:textId="77777777" w:rsidR="00BB16F7"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84" w:type="pct"/>
          </w:tcPr>
          <w:p w14:paraId="1284CFFF" w14:textId="77777777" w:rsidR="00BB16F7" w:rsidRDefault="00194A15"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18</w:t>
            </w:r>
          </w:p>
        </w:tc>
        <w:tc>
          <w:tcPr>
            <w:tcW w:w="651" w:type="pct"/>
          </w:tcPr>
          <w:p w14:paraId="0C2C2908" w14:textId="77777777" w:rsidR="00BB16F7"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42" w:type="pct"/>
          </w:tcPr>
          <w:p w14:paraId="152EBEA6" w14:textId="77777777" w:rsidR="00BB16F7" w:rsidRDefault="00194A15"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138</w:t>
            </w:r>
          </w:p>
        </w:tc>
        <w:tc>
          <w:tcPr>
            <w:tcW w:w="801" w:type="pct"/>
          </w:tcPr>
          <w:p w14:paraId="3D549642" w14:textId="77777777" w:rsidR="00BB16F7" w:rsidRDefault="00215161"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154</w:t>
            </w:r>
          </w:p>
        </w:tc>
      </w:tr>
      <w:tr w:rsidR="005D57A9" w14:paraId="3623214C" w14:textId="77777777" w:rsidTr="005D57A9">
        <w:trPr>
          <w:trHeight w:val="315"/>
        </w:trPr>
        <w:tc>
          <w:tcPr>
            <w:cnfStyle w:val="001000000000" w:firstRow="0" w:lastRow="0" w:firstColumn="1" w:lastColumn="0" w:oddVBand="0" w:evenVBand="0" w:oddHBand="0" w:evenHBand="0" w:firstRowFirstColumn="0" w:firstRowLastColumn="0" w:lastRowFirstColumn="0" w:lastRowLastColumn="0"/>
            <w:tcW w:w="799" w:type="pct"/>
            <w:noWrap/>
          </w:tcPr>
          <w:p w14:paraId="5814820B" w14:textId="77777777" w:rsidR="005D57A9" w:rsidRPr="005D57A9" w:rsidRDefault="005D57A9" w:rsidP="00066B5D">
            <w:pPr>
              <w:rPr>
                <w:rFonts w:asciiTheme="minorHAnsi" w:eastAsiaTheme="minorEastAsia" w:hAnsiTheme="minorHAnsi" w:cstheme="minorBidi"/>
                <w:b w:val="0"/>
              </w:rPr>
            </w:pPr>
            <w:r>
              <w:rPr>
                <w:rFonts w:asciiTheme="minorHAnsi" w:eastAsiaTheme="minorEastAsia" w:hAnsiTheme="minorHAnsi" w:cstheme="minorBidi"/>
                <w:b w:val="0"/>
              </w:rPr>
              <w:t>I alt</w:t>
            </w:r>
          </w:p>
        </w:tc>
        <w:tc>
          <w:tcPr>
            <w:tcW w:w="878" w:type="pct"/>
          </w:tcPr>
          <w:p w14:paraId="25CDC321" w14:textId="77777777" w:rsidR="005D57A9"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231</w:t>
            </w:r>
          </w:p>
        </w:tc>
        <w:tc>
          <w:tcPr>
            <w:tcW w:w="945" w:type="pct"/>
          </w:tcPr>
          <w:p w14:paraId="61C38860" w14:textId="77777777" w:rsidR="005D57A9" w:rsidRDefault="005D57A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84" w:type="pct"/>
          </w:tcPr>
          <w:p w14:paraId="2553BE57" w14:textId="77777777" w:rsidR="005D57A9"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34</w:t>
            </w:r>
          </w:p>
        </w:tc>
        <w:tc>
          <w:tcPr>
            <w:tcW w:w="651" w:type="pct"/>
          </w:tcPr>
          <w:p w14:paraId="18B9E5ED" w14:textId="77777777" w:rsidR="005D57A9" w:rsidRDefault="005D57A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42" w:type="pct"/>
          </w:tcPr>
          <w:p w14:paraId="2EB6722A" w14:textId="77777777" w:rsidR="005D57A9" w:rsidRDefault="00DC3288"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249</w:t>
            </w:r>
          </w:p>
        </w:tc>
        <w:tc>
          <w:tcPr>
            <w:tcW w:w="801" w:type="pct"/>
          </w:tcPr>
          <w:p w14:paraId="28469086" w14:textId="77777777" w:rsidR="005D57A9" w:rsidRDefault="00215161"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324</w:t>
            </w:r>
          </w:p>
        </w:tc>
      </w:tr>
    </w:tbl>
    <w:p w14:paraId="7CC1386C" w14:textId="77777777" w:rsidR="00484CBC" w:rsidRDefault="00484CBC">
      <w:pPr>
        <w:spacing w:after="200" w:line="276" w:lineRule="auto"/>
      </w:pPr>
    </w:p>
    <w:tbl>
      <w:tblPr>
        <w:tblStyle w:val="Lysskygge-farve1"/>
        <w:tblW w:w="4620" w:type="pct"/>
        <w:tblLook w:val="04A0" w:firstRow="1" w:lastRow="0" w:firstColumn="1" w:lastColumn="0" w:noHBand="0" w:noVBand="1"/>
      </w:tblPr>
      <w:tblGrid>
        <w:gridCol w:w="1191"/>
        <w:gridCol w:w="1499"/>
        <w:gridCol w:w="1615"/>
        <w:gridCol w:w="822"/>
        <w:gridCol w:w="1109"/>
        <w:gridCol w:w="986"/>
        <w:gridCol w:w="1369"/>
      </w:tblGrid>
      <w:tr w:rsidR="00BB16F7" w14:paraId="721B296E" w14:textId="77777777" w:rsidTr="005D57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1B9E82F2" w14:textId="77777777" w:rsidR="00BB16F7" w:rsidRPr="00484CBC" w:rsidRDefault="00BB16F7" w:rsidP="00066B5D">
            <w:pPr>
              <w:rPr>
                <w:rFonts w:asciiTheme="minorHAnsi" w:eastAsiaTheme="minorEastAsia" w:hAnsiTheme="minorHAnsi" w:cstheme="minorBidi"/>
                <w:color w:val="auto"/>
                <w:szCs w:val="22"/>
              </w:rPr>
            </w:pPr>
            <w:r w:rsidRPr="00484CBC">
              <w:rPr>
                <w:rFonts w:asciiTheme="minorHAnsi" w:eastAsiaTheme="minorEastAsia" w:hAnsiTheme="minorHAnsi" w:cstheme="minorBidi"/>
                <w:color w:val="auto"/>
                <w:szCs w:val="22"/>
              </w:rPr>
              <w:t>Disko</w:t>
            </w:r>
          </w:p>
          <w:p w14:paraId="2B122D32" w14:textId="77777777" w:rsidR="00BB16F7" w:rsidRPr="00D07419" w:rsidRDefault="00BB16F7" w:rsidP="00066B5D">
            <w:pPr>
              <w:rPr>
                <w:rFonts w:asciiTheme="minorHAnsi" w:eastAsiaTheme="minorEastAsia" w:hAnsiTheme="minorHAnsi" w:cstheme="minorBidi"/>
                <w:b w:val="0"/>
                <w:color w:val="auto"/>
                <w:szCs w:val="22"/>
              </w:rPr>
            </w:pPr>
            <w:r w:rsidRPr="00484CBC">
              <w:rPr>
                <w:rFonts w:asciiTheme="minorHAnsi" w:eastAsiaTheme="minorEastAsia" w:hAnsiTheme="minorHAnsi" w:cstheme="minorBidi"/>
                <w:color w:val="auto"/>
                <w:szCs w:val="22"/>
              </w:rPr>
              <w:t>Bugt</w:t>
            </w:r>
          </w:p>
        </w:tc>
        <w:tc>
          <w:tcPr>
            <w:tcW w:w="892" w:type="pct"/>
          </w:tcPr>
          <w:p w14:paraId="735CA23D"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Rapporteret</w:t>
            </w:r>
          </w:p>
          <w:p w14:paraId="43C8FE83" w14:textId="77777777" w:rsidR="00BB16F7" w:rsidRPr="00D07419" w:rsidRDefault="00F6704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w:t>
            </w:r>
            <w:r w:rsidR="00BB16F7" w:rsidRPr="00D07419">
              <w:rPr>
                <w:rFonts w:asciiTheme="minorHAnsi" w:eastAsiaTheme="minorEastAsia" w:hAnsiTheme="minorHAnsi" w:cstheme="minorBidi"/>
                <w:b w:val="0"/>
                <w:color w:val="auto"/>
                <w:szCs w:val="22"/>
              </w:rPr>
              <w:t>angst</w:t>
            </w:r>
          </w:p>
        </w:tc>
        <w:tc>
          <w:tcPr>
            <w:tcW w:w="960" w:type="pct"/>
          </w:tcPr>
          <w:p w14:paraId="10D8C747"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Urapporteret</w:t>
            </w:r>
          </w:p>
          <w:p w14:paraId="6761A08B"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498" w:type="pct"/>
          </w:tcPr>
          <w:p w14:paraId="2758E5B7"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15</w:t>
            </w:r>
            <w:r>
              <w:rPr>
                <w:rFonts w:asciiTheme="minorHAnsi" w:eastAsiaTheme="minorEastAsia" w:hAnsiTheme="minorHAnsi" w:cstheme="minorBidi"/>
                <w:b w:val="0"/>
                <w:color w:val="auto"/>
                <w:szCs w:val="22"/>
              </w:rPr>
              <w:t xml:space="preserve"> </w:t>
            </w:r>
            <w:r w:rsidRPr="00D07419">
              <w:rPr>
                <w:rFonts w:asciiTheme="minorHAnsi" w:eastAsiaTheme="minorEastAsia" w:hAnsiTheme="minorHAnsi" w:cstheme="minorBidi"/>
                <w:b w:val="0"/>
                <w:color w:val="auto"/>
                <w:szCs w:val="22"/>
              </w:rPr>
              <w:t>%</w:t>
            </w:r>
          </w:p>
          <w:p w14:paraId="18716291"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tab</w:t>
            </w:r>
          </w:p>
        </w:tc>
        <w:tc>
          <w:tcPr>
            <w:tcW w:w="665" w:type="pct"/>
          </w:tcPr>
          <w:p w14:paraId="50DF1A49"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Anden</w:t>
            </w:r>
          </w:p>
          <w:p w14:paraId="1A00328C"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aflivning</w:t>
            </w:r>
          </w:p>
        </w:tc>
        <w:tc>
          <w:tcPr>
            <w:tcW w:w="456" w:type="pct"/>
          </w:tcPr>
          <w:p w14:paraId="149FD80A"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2F6AB782" w14:textId="77777777" w:rsidR="00BB16F7" w:rsidRDefault="00BB208C"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Fangst</w:t>
            </w:r>
            <w:r w:rsidR="00585FD2">
              <w:rPr>
                <w:rFonts w:asciiTheme="minorHAnsi" w:eastAsiaTheme="minorEastAsia" w:hAnsiTheme="minorHAnsi" w:cstheme="minorBidi"/>
                <w:szCs w:val="22"/>
              </w:rPr>
              <w:t>*</w:t>
            </w:r>
          </w:p>
          <w:p w14:paraId="532FAD6E" w14:textId="72520775" w:rsidR="00585FD2" w:rsidRPr="00D07419" w:rsidRDefault="00585FD2"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 Total</w:t>
            </w:r>
          </w:p>
        </w:tc>
        <w:tc>
          <w:tcPr>
            <w:tcW w:w="816" w:type="pct"/>
          </w:tcPr>
          <w:p w14:paraId="671D3ED5"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68006477" w14:textId="77777777" w:rsidR="00BB16F7" w:rsidRPr="00D07419" w:rsidRDefault="00BB16F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Rådgivning</w:t>
            </w:r>
          </w:p>
        </w:tc>
      </w:tr>
      <w:tr w:rsidR="00BB16F7" w14:paraId="6AD5FB8A" w14:textId="77777777" w:rsidTr="005D57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17115900" w14:textId="77777777" w:rsidR="00BB16F7" w:rsidRPr="00D07419" w:rsidRDefault="00BB16F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4</w:t>
            </w:r>
          </w:p>
        </w:tc>
        <w:tc>
          <w:tcPr>
            <w:tcW w:w="892" w:type="pct"/>
          </w:tcPr>
          <w:p w14:paraId="0F90082E" w14:textId="77777777" w:rsidR="00BB16F7" w:rsidRDefault="00877B5D"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w:t>
            </w:r>
            <w:r w:rsidR="00CE5F8A">
              <w:rPr>
                <w:rFonts w:asciiTheme="minorHAnsi" w:eastAsiaTheme="minorEastAsia" w:hAnsiTheme="minorHAnsi" w:cstheme="minorBidi"/>
                <w:color w:val="auto"/>
              </w:rPr>
              <w:t>0</w:t>
            </w:r>
          </w:p>
        </w:tc>
        <w:tc>
          <w:tcPr>
            <w:tcW w:w="960" w:type="pct"/>
          </w:tcPr>
          <w:p w14:paraId="23968283" w14:textId="77777777" w:rsidR="00BB16F7" w:rsidRDefault="00EC2C5E"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12</w:t>
            </w:r>
          </w:p>
        </w:tc>
        <w:tc>
          <w:tcPr>
            <w:tcW w:w="498" w:type="pct"/>
          </w:tcPr>
          <w:p w14:paraId="60199F19" w14:textId="1BCD20B6" w:rsidR="00BB16F7" w:rsidRDefault="004F7224"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CE5F8A">
              <w:rPr>
                <w:rFonts w:asciiTheme="minorHAnsi" w:eastAsiaTheme="minorEastAsia" w:hAnsiTheme="minorHAnsi" w:cstheme="minorBidi"/>
                <w:color w:val="auto"/>
              </w:rPr>
              <w:t>9</w:t>
            </w:r>
            <w:r>
              <w:rPr>
                <w:rFonts w:asciiTheme="minorHAnsi" w:eastAsiaTheme="minorEastAsia" w:hAnsiTheme="minorHAnsi" w:cstheme="minorBidi"/>
                <w:color w:val="auto"/>
              </w:rPr>
              <w:t>)</w:t>
            </w:r>
          </w:p>
        </w:tc>
        <w:tc>
          <w:tcPr>
            <w:tcW w:w="665" w:type="pct"/>
          </w:tcPr>
          <w:p w14:paraId="51F9752C" w14:textId="77777777" w:rsidR="00BB16F7" w:rsidRDefault="00805CAC"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6A10F2D2" w14:textId="77777777" w:rsidR="00BB16F7" w:rsidRDefault="00CE5F8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62</w:t>
            </w:r>
            <w:r w:rsidR="007E220C">
              <w:rPr>
                <w:rFonts w:asciiTheme="minorHAnsi" w:eastAsiaTheme="minorEastAsia" w:hAnsiTheme="minorHAnsi" w:cstheme="minorBidi"/>
              </w:rPr>
              <w:t>*</w:t>
            </w:r>
          </w:p>
        </w:tc>
        <w:tc>
          <w:tcPr>
            <w:tcW w:w="816" w:type="pct"/>
          </w:tcPr>
          <w:p w14:paraId="27405A53" w14:textId="77777777" w:rsidR="00BB16F7" w:rsidRDefault="00BB16F7"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59</w:t>
            </w:r>
            <w:r w:rsidR="007E220C">
              <w:rPr>
                <w:rFonts w:asciiTheme="minorHAnsi" w:eastAsiaTheme="minorEastAsia" w:hAnsiTheme="minorHAnsi" w:cstheme="minorBidi"/>
              </w:rPr>
              <w:t>*</w:t>
            </w:r>
          </w:p>
        </w:tc>
      </w:tr>
      <w:tr w:rsidR="00BB16F7" w14:paraId="76600C3F" w14:textId="77777777" w:rsidTr="005D57A9">
        <w:trPr>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2E1FD1B9" w14:textId="77777777" w:rsidR="00BB16F7" w:rsidRPr="00D07419" w:rsidRDefault="00BB16F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5</w:t>
            </w:r>
          </w:p>
        </w:tc>
        <w:tc>
          <w:tcPr>
            <w:tcW w:w="892" w:type="pct"/>
          </w:tcPr>
          <w:p w14:paraId="15BD71F6" w14:textId="77777777" w:rsidR="00BB16F7" w:rsidRDefault="00CE5F8A"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r w:rsidR="00F1475B">
              <w:rPr>
                <w:rFonts w:asciiTheme="minorHAnsi" w:eastAsiaTheme="minorEastAsia" w:hAnsiTheme="minorHAnsi" w:cstheme="minorBidi"/>
                <w:color w:val="auto"/>
              </w:rPr>
              <w:t>0</w:t>
            </w:r>
          </w:p>
        </w:tc>
        <w:tc>
          <w:tcPr>
            <w:tcW w:w="960" w:type="pct"/>
          </w:tcPr>
          <w:p w14:paraId="1FC9B659" w14:textId="77777777" w:rsidR="00BB16F7" w:rsidRDefault="00CE5F8A"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18652EDB" w14:textId="0F412BE2" w:rsidR="00BB16F7" w:rsidRDefault="004F7224"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r w:rsidR="00CE5F8A">
              <w:rPr>
                <w:rFonts w:asciiTheme="minorHAnsi" w:eastAsiaTheme="minorEastAsia" w:hAnsiTheme="minorHAnsi" w:cstheme="minorBidi"/>
                <w:color w:val="auto"/>
              </w:rPr>
              <w:t>5</w:t>
            </w:r>
            <w:r>
              <w:rPr>
                <w:rFonts w:asciiTheme="minorHAnsi" w:eastAsiaTheme="minorEastAsia" w:hAnsiTheme="minorHAnsi" w:cstheme="minorBidi"/>
                <w:color w:val="auto"/>
              </w:rPr>
              <w:t>)</w:t>
            </w:r>
          </w:p>
        </w:tc>
        <w:tc>
          <w:tcPr>
            <w:tcW w:w="665" w:type="pct"/>
          </w:tcPr>
          <w:p w14:paraId="7CC335B6" w14:textId="77777777" w:rsidR="00BB16F7" w:rsidRDefault="00805CAC"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67F0831F" w14:textId="77777777" w:rsidR="00BB16F7" w:rsidRDefault="00CE5F8A"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30</w:t>
            </w:r>
            <w:r w:rsidR="007E220C">
              <w:rPr>
                <w:rFonts w:asciiTheme="minorHAnsi" w:eastAsiaTheme="minorEastAsia" w:hAnsiTheme="minorHAnsi" w:cstheme="minorBidi"/>
              </w:rPr>
              <w:t>*</w:t>
            </w:r>
          </w:p>
        </w:tc>
        <w:tc>
          <w:tcPr>
            <w:tcW w:w="816" w:type="pct"/>
          </w:tcPr>
          <w:p w14:paraId="10E32DC8" w14:textId="77777777" w:rsidR="00BB16F7" w:rsidRDefault="00BB16F7"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59</w:t>
            </w:r>
            <w:r w:rsidR="007E220C">
              <w:rPr>
                <w:rFonts w:asciiTheme="minorHAnsi" w:eastAsiaTheme="minorEastAsia" w:hAnsiTheme="minorHAnsi" w:cstheme="minorBidi"/>
              </w:rPr>
              <w:t>*</w:t>
            </w:r>
          </w:p>
        </w:tc>
      </w:tr>
      <w:tr w:rsidR="00BB16F7" w14:paraId="512595A0" w14:textId="77777777" w:rsidTr="005D57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5DC2CEBC" w14:textId="77777777" w:rsidR="00BB16F7" w:rsidRPr="00D07419" w:rsidRDefault="00BB16F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6</w:t>
            </w:r>
          </w:p>
        </w:tc>
        <w:tc>
          <w:tcPr>
            <w:tcW w:w="892" w:type="pct"/>
          </w:tcPr>
          <w:p w14:paraId="1581FA43" w14:textId="77777777" w:rsidR="00BB16F7" w:rsidRDefault="00C41F13" w:rsidP="00C41F1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53</w:t>
            </w:r>
          </w:p>
        </w:tc>
        <w:tc>
          <w:tcPr>
            <w:tcW w:w="960" w:type="pct"/>
          </w:tcPr>
          <w:p w14:paraId="366A8866" w14:textId="77777777" w:rsidR="00BB16F7" w:rsidRDefault="00C24E8D"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2FFF8367" w14:textId="77777777" w:rsidR="00BB16F7" w:rsidRDefault="00C24E8D"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8</w:t>
            </w:r>
          </w:p>
        </w:tc>
        <w:tc>
          <w:tcPr>
            <w:tcW w:w="665" w:type="pct"/>
          </w:tcPr>
          <w:p w14:paraId="7860D1CB" w14:textId="77777777" w:rsidR="00BB16F7"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355D4E9C" w14:textId="7E096A3B" w:rsidR="00BB16F7" w:rsidRDefault="00646F59" w:rsidP="00C41F13">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6</w:t>
            </w:r>
            <w:r w:rsidR="00585FD2">
              <w:rPr>
                <w:rFonts w:asciiTheme="minorHAnsi" w:eastAsiaTheme="minorEastAsia" w:hAnsiTheme="minorHAnsi" w:cstheme="minorBidi"/>
              </w:rPr>
              <w:t>1</w:t>
            </w:r>
          </w:p>
        </w:tc>
        <w:tc>
          <w:tcPr>
            <w:tcW w:w="816" w:type="pct"/>
          </w:tcPr>
          <w:p w14:paraId="579D85DF" w14:textId="77777777" w:rsidR="00BB16F7" w:rsidRDefault="00215161"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97</w:t>
            </w:r>
          </w:p>
        </w:tc>
      </w:tr>
      <w:tr w:rsidR="005D57A9" w14:paraId="62D700DF" w14:textId="77777777" w:rsidTr="005D57A9">
        <w:trPr>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29E9FE42" w14:textId="77777777" w:rsidR="005D57A9" w:rsidRPr="005D57A9" w:rsidRDefault="005D57A9" w:rsidP="00066B5D">
            <w:pPr>
              <w:rPr>
                <w:rFonts w:asciiTheme="minorHAnsi" w:eastAsiaTheme="minorEastAsia" w:hAnsiTheme="minorHAnsi" w:cstheme="minorBidi"/>
                <w:b w:val="0"/>
              </w:rPr>
            </w:pPr>
            <w:r>
              <w:rPr>
                <w:rFonts w:asciiTheme="minorHAnsi" w:eastAsiaTheme="minorEastAsia" w:hAnsiTheme="minorHAnsi" w:cstheme="minorBidi"/>
                <w:b w:val="0"/>
              </w:rPr>
              <w:t>i alt</w:t>
            </w:r>
          </w:p>
        </w:tc>
        <w:tc>
          <w:tcPr>
            <w:tcW w:w="892" w:type="pct"/>
          </w:tcPr>
          <w:p w14:paraId="10CBE95E" w14:textId="77777777" w:rsidR="005D57A9" w:rsidRDefault="00C41F13" w:rsidP="00C41F1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132</w:t>
            </w:r>
          </w:p>
        </w:tc>
        <w:tc>
          <w:tcPr>
            <w:tcW w:w="960" w:type="pct"/>
          </w:tcPr>
          <w:p w14:paraId="79C4883F" w14:textId="77777777" w:rsidR="005D57A9" w:rsidRDefault="00165A22"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12</w:t>
            </w:r>
          </w:p>
        </w:tc>
        <w:tc>
          <w:tcPr>
            <w:tcW w:w="498" w:type="pct"/>
          </w:tcPr>
          <w:p w14:paraId="03ABD592" w14:textId="77777777" w:rsidR="005D57A9"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22</w:t>
            </w:r>
          </w:p>
        </w:tc>
        <w:tc>
          <w:tcPr>
            <w:tcW w:w="665" w:type="pct"/>
          </w:tcPr>
          <w:p w14:paraId="722CFF1A" w14:textId="77777777" w:rsidR="005D57A9" w:rsidRDefault="005D57A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56" w:type="pct"/>
          </w:tcPr>
          <w:p w14:paraId="43438A12" w14:textId="4A3D6759" w:rsidR="005D57A9"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15</w:t>
            </w:r>
            <w:r w:rsidR="004F7224">
              <w:rPr>
                <w:rFonts w:asciiTheme="minorHAnsi" w:eastAsiaTheme="minorEastAsia" w:hAnsiTheme="minorHAnsi" w:cstheme="minorBidi"/>
              </w:rPr>
              <w:t>3</w:t>
            </w:r>
          </w:p>
        </w:tc>
        <w:tc>
          <w:tcPr>
            <w:tcW w:w="816" w:type="pct"/>
          </w:tcPr>
          <w:p w14:paraId="1114B7AC" w14:textId="77777777" w:rsidR="005D57A9" w:rsidRDefault="00165A22"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215</w:t>
            </w:r>
          </w:p>
        </w:tc>
      </w:tr>
    </w:tbl>
    <w:p w14:paraId="6D495E79" w14:textId="77777777" w:rsidR="00484CBC" w:rsidRDefault="00484CBC">
      <w:pPr>
        <w:spacing w:after="200" w:line="276" w:lineRule="auto"/>
      </w:pPr>
    </w:p>
    <w:tbl>
      <w:tblPr>
        <w:tblStyle w:val="Lysskygge-farve1"/>
        <w:tblW w:w="4647" w:type="pct"/>
        <w:tblLook w:val="04A0" w:firstRow="1" w:lastRow="0" w:firstColumn="1" w:lastColumn="0" w:noHBand="0" w:noVBand="1"/>
      </w:tblPr>
      <w:tblGrid>
        <w:gridCol w:w="1871"/>
        <w:gridCol w:w="1432"/>
        <w:gridCol w:w="1550"/>
        <w:gridCol w:w="756"/>
        <w:gridCol w:w="1043"/>
        <w:gridCol w:w="685"/>
        <w:gridCol w:w="1305"/>
      </w:tblGrid>
      <w:tr w:rsidR="00EC71B7" w14:paraId="411AF43B" w14:textId="77777777" w:rsidTr="00EC71B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3" w:type="pct"/>
            <w:noWrap/>
          </w:tcPr>
          <w:p w14:paraId="32BA44A4" w14:textId="6869076C" w:rsidR="00EC71B7" w:rsidRPr="00484CBC" w:rsidRDefault="00EC71B7" w:rsidP="00066B5D">
            <w:pPr>
              <w:rPr>
                <w:rFonts w:asciiTheme="minorHAnsi" w:eastAsiaTheme="minorEastAsia" w:hAnsiTheme="minorHAnsi" w:cstheme="minorBidi"/>
                <w:color w:val="auto"/>
                <w:szCs w:val="22"/>
              </w:rPr>
            </w:pPr>
            <w:r w:rsidRPr="00484CBC">
              <w:rPr>
                <w:rFonts w:asciiTheme="minorHAnsi" w:eastAsiaTheme="minorEastAsia" w:hAnsiTheme="minorHAnsi" w:cstheme="minorBidi"/>
                <w:color w:val="auto"/>
                <w:szCs w:val="22"/>
              </w:rPr>
              <w:t>Ittoqqorto</w:t>
            </w:r>
            <w:r w:rsidR="00C41F13">
              <w:rPr>
                <w:rFonts w:asciiTheme="minorHAnsi" w:eastAsiaTheme="minorEastAsia" w:hAnsiTheme="minorHAnsi" w:cstheme="minorBidi"/>
                <w:color w:val="auto"/>
                <w:szCs w:val="22"/>
              </w:rPr>
              <w:t>o</w:t>
            </w:r>
            <w:r w:rsidRPr="00484CBC">
              <w:rPr>
                <w:rFonts w:asciiTheme="minorHAnsi" w:eastAsiaTheme="minorEastAsia" w:hAnsiTheme="minorHAnsi" w:cstheme="minorBidi"/>
                <w:color w:val="auto"/>
                <w:szCs w:val="22"/>
              </w:rPr>
              <w:t>rmiit</w:t>
            </w:r>
          </w:p>
        </w:tc>
        <w:tc>
          <w:tcPr>
            <w:tcW w:w="857" w:type="pct"/>
          </w:tcPr>
          <w:p w14:paraId="2EE804A5"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Rapporteret</w:t>
            </w:r>
          </w:p>
          <w:p w14:paraId="16070935"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925" w:type="pct"/>
          </w:tcPr>
          <w:p w14:paraId="26F8F2DF"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Urapporteret</w:t>
            </w:r>
          </w:p>
          <w:p w14:paraId="378A2CD4"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466" w:type="pct"/>
          </w:tcPr>
          <w:p w14:paraId="4AE6965C"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15</w:t>
            </w:r>
            <w:r w:rsidR="00D42505">
              <w:rPr>
                <w:rFonts w:asciiTheme="minorHAnsi" w:eastAsiaTheme="minorEastAsia" w:hAnsiTheme="minorHAnsi" w:cstheme="minorBidi"/>
                <w:b w:val="0"/>
                <w:color w:val="auto"/>
                <w:szCs w:val="22"/>
              </w:rPr>
              <w:t xml:space="preserve"> </w:t>
            </w:r>
            <w:r w:rsidRPr="00D07419">
              <w:rPr>
                <w:rFonts w:asciiTheme="minorHAnsi" w:eastAsiaTheme="minorEastAsia" w:hAnsiTheme="minorHAnsi" w:cstheme="minorBidi"/>
                <w:b w:val="0"/>
                <w:color w:val="auto"/>
                <w:szCs w:val="22"/>
              </w:rPr>
              <w:t>%</w:t>
            </w:r>
          </w:p>
          <w:p w14:paraId="0B231CFE"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tab</w:t>
            </w:r>
          </w:p>
        </w:tc>
        <w:tc>
          <w:tcPr>
            <w:tcW w:w="632" w:type="pct"/>
          </w:tcPr>
          <w:p w14:paraId="5D1C0062"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Anden</w:t>
            </w:r>
          </w:p>
          <w:p w14:paraId="16478DB7"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aflivning</w:t>
            </w:r>
          </w:p>
        </w:tc>
        <w:tc>
          <w:tcPr>
            <w:tcW w:w="424" w:type="pct"/>
          </w:tcPr>
          <w:p w14:paraId="52145E5A"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7274775D"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Total</w:t>
            </w:r>
          </w:p>
        </w:tc>
        <w:tc>
          <w:tcPr>
            <w:tcW w:w="783" w:type="pct"/>
          </w:tcPr>
          <w:p w14:paraId="79140E5D"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1177EF10"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Rådgivning</w:t>
            </w:r>
          </w:p>
        </w:tc>
      </w:tr>
      <w:tr w:rsidR="00EC71B7" w14:paraId="4988F588" w14:textId="77777777" w:rsidTr="00EC71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3" w:type="pct"/>
            <w:noWrap/>
          </w:tcPr>
          <w:p w14:paraId="421856D9" w14:textId="77777777" w:rsidR="00EC71B7" w:rsidRPr="00D07419" w:rsidRDefault="00EC71B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4</w:t>
            </w:r>
          </w:p>
        </w:tc>
        <w:tc>
          <w:tcPr>
            <w:tcW w:w="857" w:type="pct"/>
          </w:tcPr>
          <w:p w14:paraId="3AC88D63" w14:textId="77777777" w:rsidR="00EC71B7" w:rsidRDefault="00CE5F8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63</w:t>
            </w:r>
          </w:p>
        </w:tc>
        <w:tc>
          <w:tcPr>
            <w:tcW w:w="925" w:type="pct"/>
          </w:tcPr>
          <w:p w14:paraId="3AE4DE8A" w14:textId="77777777" w:rsidR="00EC71B7" w:rsidRDefault="0014239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66" w:type="pct"/>
          </w:tcPr>
          <w:p w14:paraId="793A2A39" w14:textId="77777777" w:rsidR="00EC71B7" w:rsidRDefault="00CE5F8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w:t>
            </w:r>
          </w:p>
        </w:tc>
        <w:tc>
          <w:tcPr>
            <w:tcW w:w="632" w:type="pct"/>
          </w:tcPr>
          <w:p w14:paraId="4772C198" w14:textId="77777777" w:rsidR="00EC71B7" w:rsidRDefault="0014239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24" w:type="pct"/>
          </w:tcPr>
          <w:p w14:paraId="1879CBD9" w14:textId="77777777" w:rsidR="00EC71B7" w:rsidRDefault="00CE5F8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72</w:t>
            </w:r>
          </w:p>
        </w:tc>
        <w:tc>
          <w:tcPr>
            <w:tcW w:w="783" w:type="pct"/>
          </w:tcPr>
          <w:p w14:paraId="138DFF54" w14:textId="77777777" w:rsidR="00EC71B7" w:rsidRDefault="00DD1DFF"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70</w:t>
            </w:r>
          </w:p>
        </w:tc>
      </w:tr>
      <w:tr w:rsidR="00EC71B7" w14:paraId="3816C566" w14:textId="77777777" w:rsidTr="00EC71B7">
        <w:trPr>
          <w:trHeight w:val="315"/>
        </w:trPr>
        <w:tc>
          <w:tcPr>
            <w:cnfStyle w:val="001000000000" w:firstRow="0" w:lastRow="0" w:firstColumn="1" w:lastColumn="0" w:oddVBand="0" w:evenVBand="0" w:oddHBand="0" w:evenHBand="0" w:firstRowFirstColumn="0" w:firstRowLastColumn="0" w:lastRowFirstColumn="0" w:lastRowLastColumn="0"/>
            <w:tcW w:w="913" w:type="pct"/>
            <w:noWrap/>
          </w:tcPr>
          <w:p w14:paraId="26404F34" w14:textId="77777777" w:rsidR="00EC71B7" w:rsidRPr="00D07419" w:rsidRDefault="00EC71B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5</w:t>
            </w:r>
          </w:p>
        </w:tc>
        <w:tc>
          <w:tcPr>
            <w:tcW w:w="857" w:type="pct"/>
          </w:tcPr>
          <w:p w14:paraId="0C2B4DD8" w14:textId="77777777" w:rsidR="00EC71B7" w:rsidRDefault="00CE5F8A" w:rsidP="002659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74</w:t>
            </w:r>
          </w:p>
        </w:tc>
        <w:tc>
          <w:tcPr>
            <w:tcW w:w="925" w:type="pct"/>
          </w:tcPr>
          <w:p w14:paraId="745603AC" w14:textId="77777777" w:rsidR="00EC71B7" w:rsidRDefault="00142390"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66" w:type="pct"/>
          </w:tcPr>
          <w:p w14:paraId="22D7E422" w14:textId="77777777" w:rsidR="00EC71B7" w:rsidRDefault="00CE5F8A"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11</w:t>
            </w:r>
          </w:p>
        </w:tc>
        <w:tc>
          <w:tcPr>
            <w:tcW w:w="632" w:type="pct"/>
          </w:tcPr>
          <w:p w14:paraId="4F57AF90" w14:textId="77777777" w:rsidR="00EC71B7" w:rsidRDefault="00142390"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24" w:type="pct"/>
          </w:tcPr>
          <w:p w14:paraId="71F6FE87" w14:textId="77777777" w:rsidR="00EC71B7" w:rsidRDefault="00CE5F8A"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85</w:t>
            </w:r>
          </w:p>
        </w:tc>
        <w:tc>
          <w:tcPr>
            <w:tcW w:w="783" w:type="pct"/>
          </w:tcPr>
          <w:p w14:paraId="2B8F6B5E" w14:textId="77777777" w:rsidR="00EC71B7" w:rsidRDefault="005B6164"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70</w:t>
            </w:r>
          </w:p>
        </w:tc>
      </w:tr>
      <w:tr w:rsidR="00EC71B7" w14:paraId="5D8A836A" w14:textId="77777777" w:rsidTr="00EC71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13" w:type="pct"/>
            <w:noWrap/>
          </w:tcPr>
          <w:p w14:paraId="5C9FA222" w14:textId="77777777" w:rsidR="00EC71B7" w:rsidRPr="00D07419" w:rsidRDefault="00EC71B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6</w:t>
            </w:r>
          </w:p>
        </w:tc>
        <w:tc>
          <w:tcPr>
            <w:tcW w:w="857" w:type="pct"/>
          </w:tcPr>
          <w:p w14:paraId="731BE883" w14:textId="77777777" w:rsidR="00EC71B7" w:rsidRDefault="00F67046"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38</w:t>
            </w:r>
          </w:p>
        </w:tc>
        <w:tc>
          <w:tcPr>
            <w:tcW w:w="925" w:type="pct"/>
          </w:tcPr>
          <w:p w14:paraId="10B3D497" w14:textId="77777777" w:rsidR="00EC71B7"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66" w:type="pct"/>
          </w:tcPr>
          <w:p w14:paraId="5DEF6704" w14:textId="77777777" w:rsidR="00EC71B7" w:rsidRDefault="00646F5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w:t>
            </w:r>
          </w:p>
        </w:tc>
        <w:tc>
          <w:tcPr>
            <w:tcW w:w="632" w:type="pct"/>
          </w:tcPr>
          <w:p w14:paraId="444FED34" w14:textId="77777777" w:rsidR="00EC71B7"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24" w:type="pct"/>
          </w:tcPr>
          <w:p w14:paraId="494BBB2F" w14:textId="77777777" w:rsidR="00EC71B7" w:rsidRDefault="00646F5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44</w:t>
            </w:r>
          </w:p>
        </w:tc>
        <w:tc>
          <w:tcPr>
            <w:tcW w:w="783" w:type="pct"/>
          </w:tcPr>
          <w:p w14:paraId="7958C500" w14:textId="77777777" w:rsidR="00EC71B7" w:rsidRDefault="0003470E"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50</w:t>
            </w:r>
          </w:p>
        </w:tc>
      </w:tr>
      <w:tr w:rsidR="005D57A9" w14:paraId="3C127840" w14:textId="77777777" w:rsidTr="00EC71B7">
        <w:trPr>
          <w:trHeight w:val="315"/>
        </w:trPr>
        <w:tc>
          <w:tcPr>
            <w:cnfStyle w:val="001000000000" w:firstRow="0" w:lastRow="0" w:firstColumn="1" w:lastColumn="0" w:oddVBand="0" w:evenVBand="0" w:oddHBand="0" w:evenHBand="0" w:firstRowFirstColumn="0" w:firstRowLastColumn="0" w:lastRowFirstColumn="0" w:lastRowLastColumn="0"/>
            <w:tcW w:w="913" w:type="pct"/>
            <w:noWrap/>
          </w:tcPr>
          <w:p w14:paraId="25E0616F" w14:textId="77777777" w:rsidR="005D57A9" w:rsidRPr="005D57A9" w:rsidRDefault="005D57A9" w:rsidP="00066B5D">
            <w:pPr>
              <w:rPr>
                <w:rFonts w:asciiTheme="minorHAnsi" w:eastAsiaTheme="minorEastAsia" w:hAnsiTheme="minorHAnsi" w:cstheme="minorBidi"/>
                <w:b w:val="0"/>
              </w:rPr>
            </w:pPr>
            <w:r>
              <w:rPr>
                <w:rFonts w:asciiTheme="minorHAnsi" w:eastAsiaTheme="minorEastAsia" w:hAnsiTheme="minorHAnsi" w:cstheme="minorBidi"/>
                <w:b w:val="0"/>
              </w:rPr>
              <w:t>i alt</w:t>
            </w:r>
          </w:p>
        </w:tc>
        <w:tc>
          <w:tcPr>
            <w:tcW w:w="857" w:type="pct"/>
          </w:tcPr>
          <w:p w14:paraId="2C06B6B1" w14:textId="77777777" w:rsidR="005D57A9"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175</w:t>
            </w:r>
          </w:p>
        </w:tc>
        <w:tc>
          <w:tcPr>
            <w:tcW w:w="925" w:type="pct"/>
          </w:tcPr>
          <w:p w14:paraId="189B7633" w14:textId="77777777" w:rsidR="005D57A9" w:rsidRDefault="005D57A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66" w:type="pct"/>
          </w:tcPr>
          <w:p w14:paraId="1F124A76" w14:textId="77777777" w:rsidR="005D57A9"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26</w:t>
            </w:r>
          </w:p>
        </w:tc>
        <w:tc>
          <w:tcPr>
            <w:tcW w:w="632" w:type="pct"/>
          </w:tcPr>
          <w:p w14:paraId="1BBF52BB" w14:textId="77777777" w:rsidR="005D57A9" w:rsidRDefault="005D57A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24" w:type="pct"/>
          </w:tcPr>
          <w:p w14:paraId="15D59CD0" w14:textId="77777777" w:rsidR="005D57A9"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201</w:t>
            </w:r>
          </w:p>
        </w:tc>
        <w:tc>
          <w:tcPr>
            <w:tcW w:w="783" w:type="pct"/>
          </w:tcPr>
          <w:p w14:paraId="3EED98FA" w14:textId="77777777" w:rsidR="005D57A9" w:rsidRDefault="0003470E"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190</w:t>
            </w:r>
          </w:p>
        </w:tc>
      </w:tr>
    </w:tbl>
    <w:p w14:paraId="2B9C0964" w14:textId="77777777" w:rsidR="00484CBC" w:rsidRDefault="00484CBC">
      <w:pPr>
        <w:spacing w:after="200" w:line="276" w:lineRule="auto"/>
      </w:pPr>
    </w:p>
    <w:tbl>
      <w:tblPr>
        <w:tblStyle w:val="Lysskygge-farve1"/>
        <w:tblW w:w="4620" w:type="pct"/>
        <w:tblLook w:val="04A0" w:firstRow="1" w:lastRow="0" w:firstColumn="1" w:lastColumn="0" w:noHBand="0" w:noVBand="1"/>
      </w:tblPr>
      <w:tblGrid>
        <w:gridCol w:w="1225"/>
        <w:gridCol w:w="1533"/>
        <w:gridCol w:w="1649"/>
        <w:gridCol w:w="856"/>
        <w:gridCol w:w="1143"/>
        <w:gridCol w:w="783"/>
        <w:gridCol w:w="1402"/>
      </w:tblGrid>
      <w:tr w:rsidR="00EC71B7" w14:paraId="163F9978" w14:textId="77777777" w:rsidTr="005D57A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1C210883" w14:textId="77777777" w:rsidR="00EC71B7" w:rsidRPr="00484CBC" w:rsidRDefault="00EC71B7" w:rsidP="00066B5D">
            <w:pPr>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Tasi</w:t>
            </w:r>
            <w:r w:rsidR="00066B5D">
              <w:rPr>
                <w:rFonts w:asciiTheme="minorHAnsi" w:eastAsiaTheme="minorEastAsia" w:hAnsiTheme="minorHAnsi" w:cstheme="minorBidi"/>
                <w:color w:val="auto"/>
                <w:szCs w:val="22"/>
              </w:rPr>
              <w:t>i</w:t>
            </w:r>
            <w:r>
              <w:rPr>
                <w:rFonts w:asciiTheme="minorHAnsi" w:eastAsiaTheme="minorEastAsia" w:hAnsiTheme="minorHAnsi" w:cstheme="minorBidi"/>
                <w:color w:val="auto"/>
                <w:szCs w:val="22"/>
              </w:rPr>
              <w:t>laq</w:t>
            </w:r>
          </w:p>
        </w:tc>
        <w:tc>
          <w:tcPr>
            <w:tcW w:w="892" w:type="pct"/>
          </w:tcPr>
          <w:p w14:paraId="3A50527F"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Rapporteret</w:t>
            </w:r>
          </w:p>
          <w:p w14:paraId="3679A1DD"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960" w:type="pct"/>
          </w:tcPr>
          <w:p w14:paraId="734358F3"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Urapporteret</w:t>
            </w:r>
          </w:p>
          <w:p w14:paraId="79B84EEC"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498" w:type="pct"/>
          </w:tcPr>
          <w:p w14:paraId="2EB89C43"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15</w:t>
            </w:r>
            <w:r w:rsidR="00D42505">
              <w:rPr>
                <w:rFonts w:asciiTheme="minorHAnsi" w:eastAsiaTheme="minorEastAsia" w:hAnsiTheme="minorHAnsi" w:cstheme="minorBidi"/>
                <w:b w:val="0"/>
                <w:color w:val="auto"/>
                <w:szCs w:val="22"/>
              </w:rPr>
              <w:t xml:space="preserve"> </w:t>
            </w:r>
            <w:r w:rsidRPr="00D07419">
              <w:rPr>
                <w:rFonts w:asciiTheme="minorHAnsi" w:eastAsiaTheme="minorEastAsia" w:hAnsiTheme="minorHAnsi" w:cstheme="minorBidi"/>
                <w:b w:val="0"/>
                <w:color w:val="auto"/>
                <w:szCs w:val="22"/>
              </w:rPr>
              <w:t>%</w:t>
            </w:r>
          </w:p>
          <w:p w14:paraId="7B4F78CC"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tab</w:t>
            </w:r>
          </w:p>
        </w:tc>
        <w:tc>
          <w:tcPr>
            <w:tcW w:w="665" w:type="pct"/>
          </w:tcPr>
          <w:p w14:paraId="32DA2EBC"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Anden</w:t>
            </w:r>
          </w:p>
          <w:p w14:paraId="773FA940"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aflivning</w:t>
            </w:r>
          </w:p>
        </w:tc>
        <w:tc>
          <w:tcPr>
            <w:tcW w:w="456" w:type="pct"/>
          </w:tcPr>
          <w:p w14:paraId="604CFCFA"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0491DF10"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Total</w:t>
            </w:r>
          </w:p>
        </w:tc>
        <w:tc>
          <w:tcPr>
            <w:tcW w:w="816" w:type="pct"/>
          </w:tcPr>
          <w:p w14:paraId="6B270CED"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5427CF11"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Rådgivning</w:t>
            </w:r>
          </w:p>
        </w:tc>
      </w:tr>
      <w:tr w:rsidR="00EC71B7" w14:paraId="55B6C2BA" w14:textId="77777777" w:rsidTr="005D57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20EF3F5A" w14:textId="77777777" w:rsidR="00EC71B7" w:rsidRPr="00D07419" w:rsidRDefault="00EC71B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4</w:t>
            </w:r>
          </w:p>
        </w:tc>
        <w:tc>
          <w:tcPr>
            <w:tcW w:w="892" w:type="pct"/>
          </w:tcPr>
          <w:p w14:paraId="155E205D" w14:textId="77777777" w:rsidR="00EC71B7" w:rsidRDefault="009A687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r w:rsidR="00CE5F8A">
              <w:rPr>
                <w:rFonts w:asciiTheme="minorHAnsi" w:eastAsiaTheme="minorEastAsia" w:hAnsiTheme="minorHAnsi" w:cstheme="minorBidi"/>
                <w:color w:val="auto"/>
              </w:rPr>
              <w:t>8</w:t>
            </w:r>
          </w:p>
        </w:tc>
        <w:tc>
          <w:tcPr>
            <w:tcW w:w="960" w:type="pct"/>
          </w:tcPr>
          <w:p w14:paraId="570C39E5" w14:textId="77777777" w:rsidR="00EC71B7" w:rsidRDefault="009A687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0B15E32E" w14:textId="77777777" w:rsidR="00EC71B7" w:rsidRDefault="00A3622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665" w:type="pct"/>
          </w:tcPr>
          <w:p w14:paraId="61B91F25" w14:textId="77777777" w:rsidR="00EC71B7" w:rsidRDefault="009A687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15ECBA91" w14:textId="77777777" w:rsidR="00EC71B7" w:rsidRDefault="00A3622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w:t>
            </w:r>
            <w:r w:rsidR="00CE5F8A">
              <w:rPr>
                <w:rFonts w:asciiTheme="minorHAnsi" w:eastAsiaTheme="minorEastAsia" w:hAnsiTheme="minorHAnsi" w:cstheme="minorBidi"/>
              </w:rPr>
              <w:t>1</w:t>
            </w:r>
          </w:p>
        </w:tc>
        <w:tc>
          <w:tcPr>
            <w:tcW w:w="816" w:type="pct"/>
          </w:tcPr>
          <w:p w14:paraId="35BE0446" w14:textId="77777777" w:rsidR="00EC71B7" w:rsidRDefault="00DD1DFF"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18</w:t>
            </w:r>
          </w:p>
        </w:tc>
      </w:tr>
      <w:tr w:rsidR="00EC71B7" w14:paraId="4B632C9B" w14:textId="77777777" w:rsidTr="005D57A9">
        <w:trPr>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5F59367B" w14:textId="77777777" w:rsidR="00EC71B7" w:rsidRPr="00D07419" w:rsidRDefault="00EC71B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5</w:t>
            </w:r>
          </w:p>
        </w:tc>
        <w:tc>
          <w:tcPr>
            <w:tcW w:w="892" w:type="pct"/>
          </w:tcPr>
          <w:p w14:paraId="7C8BEF83" w14:textId="77777777" w:rsidR="00EC71B7" w:rsidRDefault="00CE5F8A" w:rsidP="002659D3">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20</w:t>
            </w:r>
          </w:p>
        </w:tc>
        <w:tc>
          <w:tcPr>
            <w:tcW w:w="960" w:type="pct"/>
          </w:tcPr>
          <w:p w14:paraId="1F7064D6" w14:textId="77777777" w:rsidR="00EC71B7" w:rsidRDefault="009A687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35D91D1D" w14:textId="77777777" w:rsidR="00EC71B7" w:rsidRDefault="00A36220"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665" w:type="pct"/>
          </w:tcPr>
          <w:p w14:paraId="653EC44A" w14:textId="77777777" w:rsidR="00EC71B7" w:rsidRDefault="009A687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33FD3428" w14:textId="77777777" w:rsidR="00EC71B7" w:rsidRDefault="00A36220"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w:t>
            </w:r>
            <w:r w:rsidR="00CE5F8A">
              <w:rPr>
                <w:rFonts w:asciiTheme="minorHAnsi" w:eastAsiaTheme="minorEastAsia" w:hAnsiTheme="minorHAnsi" w:cstheme="minorBidi"/>
              </w:rPr>
              <w:t>3</w:t>
            </w:r>
          </w:p>
        </w:tc>
        <w:tc>
          <w:tcPr>
            <w:tcW w:w="816" w:type="pct"/>
          </w:tcPr>
          <w:p w14:paraId="13C6C43E" w14:textId="77777777" w:rsidR="00EC71B7" w:rsidRDefault="005B6164"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18</w:t>
            </w:r>
          </w:p>
        </w:tc>
      </w:tr>
      <w:tr w:rsidR="00EC71B7" w14:paraId="6E0968E9" w14:textId="77777777" w:rsidTr="005D57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36B304FC" w14:textId="77777777" w:rsidR="00EC71B7" w:rsidRPr="00D07419" w:rsidRDefault="00EC71B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CE5F8A">
              <w:rPr>
                <w:rFonts w:asciiTheme="minorHAnsi" w:eastAsiaTheme="minorEastAsia" w:hAnsiTheme="minorHAnsi" w:cstheme="minorBidi"/>
                <w:b w:val="0"/>
                <w:color w:val="auto"/>
              </w:rPr>
              <w:t>6</w:t>
            </w:r>
          </w:p>
        </w:tc>
        <w:tc>
          <w:tcPr>
            <w:tcW w:w="892" w:type="pct"/>
          </w:tcPr>
          <w:p w14:paraId="0CD306C0" w14:textId="77777777" w:rsidR="00EC71B7" w:rsidRDefault="00F67046"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15</w:t>
            </w:r>
          </w:p>
        </w:tc>
        <w:tc>
          <w:tcPr>
            <w:tcW w:w="960" w:type="pct"/>
          </w:tcPr>
          <w:p w14:paraId="16B6A701" w14:textId="77777777" w:rsidR="00EC71B7"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78318E21" w14:textId="77777777" w:rsidR="00EC71B7" w:rsidRDefault="00646F5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665" w:type="pct"/>
          </w:tcPr>
          <w:p w14:paraId="20266DBE" w14:textId="77777777" w:rsidR="00EC71B7"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7D4CDF45" w14:textId="77777777" w:rsidR="00EC71B7" w:rsidRDefault="00646F5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17</w:t>
            </w:r>
          </w:p>
        </w:tc>
        <w:tc>
          <w:tcPr>
            <w:tcW w:w="816" w:type="pct"/>
          </w:tcPr>
          <w:p w14:paraId="091E64B0" w14:textId="77777777" w:rsidR="00EC71B7" w:rsidRDefault="0003470E"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16</w:t>
            </w:r>
          </w:p>
        </w:tc>
      </w:tr>
      <w:tr w:rsidR="005D57A9" w14:paraId="00E1F557" w14:textId="77777777" w:rsidTr="005D57A9">
        <w:trPr>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7A0A9C97" w14:textId="77777777" w:rsidR="005D57A9" w:rsidRPr="005D57A9" w:rsidRDefault="005D57A9" w:rsidP="00066B5D">
            <w:pPr>
              <w:rPr>
                <w:rFonts w:asciiTheme="minorHAnsi" w:eastAsiaTheme="minorEastAsia" w:hAnsiTheme="minorHAnsi" w:cstheme="minorBidi"/>
                <w:b w:val="0"/>
              </w:rPr>
            </w:pPr>
            <w:r>
              <w:rPr>
                <w:rFonts w:asciiTheme="minorHAnsi" w:eastAsiaTheme="minorEastAsia" w:hAnsiTheme="minorHAnsi" w:cstheme="minorBidi"/>
                <w:b w:val="0"/>
              </w:rPr>
              <w:t>i alt</w:t>
            </w:r>
          </w:p>
        </w:tc>
        <w:tc>
          <w:tcPr>
            <w:tcW w:w="892" w:type="pct"/>
          </w:tcPr>
          <w:p w14:paraId="04264711" w14:textId="77777777" w:rsidR="005D57A9"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53</w:t>
            </w:r>
          </w:p>
        </w:tc>
        <w:tc>
          <w:tcPr>
            <w:tcW w:w="960" w:type="pct"/>
          </w:tcPr>
          <w:p w14:paraId="4B81148B" w14:textId="77777777" w:rsidR="005D57A9" w:rsidRDefault="005D57A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98" w:type="pct"/>
          </w:tcPr>
          <w:p w14:paraId="31FDE945" w14:textId="77777777" w:rsidR="005D57A9"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8</w:t>
            </w:r>
          </w:p>
        </w:tc>
        <w:tc>
          <w:tcPr>
            <w:tcW w:w="665" w:type="pct"/>
          </w:tcPr>
          <w:p w14:paraId="74EACE8F" w14:textId="77777777" w:rsidR="005D57A9" w:rsidRDefault="005D57A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56" w:type="pct"/>
          </w:tcPr>
          <w:p w14:paraId="6F0343A0" w14:textId="77777777" w:rsidR="005D57A9"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61</w:t>
            </w:r>
          </w:p>
        </w:tc>
        <w:tc>
          <w:tcPr>
            <w:tcW w:w="816" w:type="pct"/>
          </w:tcPr>
          <w:p w14:paraId="6B463EBE" w14:textId="77777777" w:rsidR="005D57A9" w:rsidRDefault="0003470E"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52</w:t>
            </w:r>
          </w:p>
        </w:tc>
      </w:tr>
    </w:tbl>
    <w:p w14:paraId="778DB6E3" w14:textId="77777777" w:rsidR="00484CBC" w:rsidRDefault="00484CBC">
      <w:pPr>
        <w:spacing w:after="200" w:line="276" w:lineRule="auto"/>
      </w:pPr>
    </w:p>
    <w:p w14:paraId="12AE09B8" w14:textId="77777777" w:rsidR="00BA2342" w:rsidRDefault="00BA2342">
      <w:pPr>
        <w:spacing w:after="200" w:line="276" w:lineRule="auto"/>
        <w:rPr>
          <w:rFonts w:asciiTheme="majorHAnsi" w:eastAsiaTheme="majorEastAsia" w:hAnsiTheme="majorHAnsi" w:cstheme="majorBidi"/>
          <w:b/>
          <w:bCs/>
          <w:color w:val="365F91" w:themeColor="accent1" w:themeShade="BF"/>
          <w:sz w:val="32"/>
          <w:szCs w:val="28"/>
        </w:rPr>
      </w:pPr>
      <w:r>
        <w:br w:type="page"/>
      </w:r>
    </w:p>
    <w:p w14:paraId="39B7A266" w14:textId="77777777" w:rsidR="004613F9" w:rsidRDefault="004613F9" w:rsidP="004613F9">
      <w:pPr>
        <w:pStyle w:val="Overskrift1"/>
      </w:pPr>
      <w:r>
        <w:t>Hvidhval</w:t>
      </w:r>
    </w:p>
    <w:p w14:paraId="54DDF2A1" w14:textId="77777777" w:rsidR="00FC2D49" w:rsidRDefault="002F1F81" w:rsidP="00FC2D49">
      <w:pPr>
        <w:spacing w:before="240"/>
      </w:pPr>
      <w:r>
        <w:t>Fangstp</w:t>
      </w:r>
      <w:r w:rsidR="00FC2D49">
        <w:t xml:space="preserve">erioden </w:t>
      </w:r>
      <w:r>
        <w:t xml:space="preserve">fra </w:t>
      </w:r>
      <w:r w:rsidR="00FC2D49">
        <w:t>201</w:t>
      </w:r>
      <w:r w:rsidR="00AF03C3">
        <w:t>4</w:t>
      </w:r>
      <w:r w:rsidR="00FC2D49">
        <w:t xml:space="preserve"> til 2015 er dækket af </w:t>
      </w:r>
      <w:r>
        <w:t>2012</w:t>
      </w:r>
      <w:r w:rsidR="00230EEC">
        <w:t>-</w:t>
      </w:r>
      <w:r>
        <w:t xml:space="preserve">rådgivningen fra </w:t>
      </w:r>
      <w:r w:rsidR="00FC2D49">
        <w:t>NAMMCO/JCNB</w:t>
      </w:r>
      <w:r w:rsidR="00AF03C3">
        <w:t>, mens 2016 falder ind under 2015-rådgivningen</w:t>
      </w:r>
      <w:r w:rsidR="00FC2D49">
        <w:t xml:space="preserve">. </w:t>
      </w:r>
      <w:r w:rsidR="00E935FC">
        <w:t xml:space="preserve">Rådgivningen </w:t>
      </w:r>
      <w:r w:rsidR="00FC2D49">
        <w:t xml:space="preserve">inkluderede </w:t>
      </w:r>
      <w:r>
        <w:t>et gennemsnitligt tab på 8</w:t>
      </w:r>
      <w:r w:rsidR="00230EEC">
        <w:t>,</w:t>
      </w:r>
      <w:r>
        <w:t>5</w:t>
      </w:r>
      <w:r w:rsidR="00FC2D49">
        <w:t>%</w:t>
      </w:r>
      <w:r w:rsidR="00E935FC">
        <w:t>, og den er gældende for vinterfangsten i Vestgrønland</w:t>
      </w:r>
      <w:r w:rsidR="00464B20">
        <w:t>. Der skal der</w:t>
      </w:r>
      <w:r w:rsidR="00E935FC">
        <w:t>for der ikke i denne NDF skal tages hensyn til fangster i Canada</w:t>
      </w:r>
      <w:r w:rsidR="00FC2D49">
        <w:t xml:space="preserve">. For vinterjagten i Qaanaaq </w:t>
      </w:r>
      <w:r w:rsidR="002C782E">
        <w:t>er</w:t>
      </w:r>
      <w:r w:rsidR="00BE0F62">
        <w:t xml:space="preserve"> rådgivningen</w:t>
      </w:r>
      <w:r w:rsidR="009F72ED">
        <w:t>,</w:t>
      </w:r>
      <w:r w:rsidR="00BE0F62">
        <w:t xml:space="preserve"> at </w:t>
      </w:r>
      <w:r w:rsidR="00FC2D49">
        <w:t xml:space="preserve">en fangst på det nuværende niveau </w:t>
      </w:r>
      <w:r w:rsidR="002C782E">
        <w:t xml:space="preserve">er </w:t>
      </w:r>
      <w:r w:rsidR="00FC2D49">
        <w:t>bæredygtig.</w:t>
      </w:r>
      <w:r w:rsidR="002C782E">
        <w:t xml:space="preserve"> </w:t>
      </w:r>
    </w:p>
    <w:p w14:paraId="61B1E094" w14:textId="77777777" w:rsidR="00484CBC" w:rsidRDefault="001C369E" w:rsidP="004613F9">
      <w:pPr>
        <w:spacing w:before="240"/>
      </w:pPr>
      <w:r>
        <w:t>Det vides ikke</w:t>
      </w:r>
      <w:r w:rsidR="00230EEC">
        <w:t>,</w:t>
      </w:r>
      <w:r>
        <w:t xml:space="preserve"> i hvilket omfang tab er inkluderet i den rapporterede fangst, og udgangspunktet er her</w:t>
      </w:r>
      <w:r w:rsidR="009043BC">
        <w:t>,</w:t>
      </w:r>
      <w:r>
        <w:t xml:space="preserve"> at den ikke er inkluderet. </w:t>
      </w:r>
      <w:r w:rsidR="009D6CEA">
        <w:t xml:space="preserve">Der afgives </w:t>
      </w:r>
      <w:r w:rsidR="00517EE1">
        <w:t xml:space="preserve">en NDF </w:t>
      </w:r>
      <w:r w:rsidR="002F1F81">
        <w:t>erklæring for hvidhval i Grønland, da fangsten plus det forvent</w:t>
      </w:r>
      <w:r w:rsidR="003A388B">
        <w:t xml:space="preserve">ede tab </w:t>
      </w:r>
      <w:r w:rsidR="009D6CEA">
        <w:t xml:space="preserve">ligger under den samlede </w:t>
      </w:r>
      <w:r w:rsidR="003A388B">
        <w:t xml:space="preserve">rådgivning </w:t>
      </w:r>
      <w:r w:rsidR="00AE3D16">
        <w:t>per bestand</w:t>
      </w:r>
      <w:r w:rsidR="003A388B">
        <w:t>.</w:t>
      </w:r>
    </w:p>
    <w:p w14:paraId="000182A8" w14:textId="77777777" w:rsidR="00FC2D49" w:rsidRDefault="00FC2D49" w:rsidP="004613F9">
      <w:pPr>
        <w:spacing w:before="240"/>
      </w:pPr>
    </w:p>
    <w:tbl>
      <w:tblPr>
        <w:tblStyle w:val="Lysskygge-farve1"/>
        <w:tblW w:w="4620" w:type="pct"/>
        <w:tblLook w:val="04A0" w:firstRow="1" w:lastRow="0" w:firstColumn="1" w:lastColumn="0" w:noHBand="0" w:noVBand="1"/>
      </w:tblPr>
      <w:tblGrid>
        <w:gridCol w:w="1225"/>
        <w:gridCol w:w="1533"/>
        <w:gridCol w:w="1649"/>
        <w:gridCol w:w="856"/>
        <w:gridCol w:w="1143"/>
        <w:gridCol w:w="783"/>
        <w:gridCol w:w="1402"/>
      </w:tblGrid>
      <w:tr w:rsidR="00640D1A" w14:paraId="62E329A4" w14:textId="77777777" w:rsidTr="000F721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54FE284B" w14:textId="77777777" w:rsidR="00640D1A" w:rsidRDefault="00601AB3" w:rsidP="00484CBC">
            <w:pPr>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Vest</w:t>
            </w:r>
          </w:p>
          <w:p w14:paraId="355CA71B" w14:textId="77777777" w:rsidR="00601AB3" w:rsidRPr="00484CBC" w:rsidRDefault="00601AB3" w:rsidP="00484CBC">
            <w:pPr>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Grønland</w:t>
            </w:r>
          </w:p>
        </w:tc>
        <w:tc>
          <w:tcPr>
            <w:tcW w:w="892" w:type="pct"/>
          </w:tcPr>
          <w:p w14:paraId="3E8380B0"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Rapporteret</w:t>
            </w:r>
          </w:p>
          <w:p w14:paraId="55ECBD86"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960" w:type="pct"/>
          </w:tcPr>
          <w:p w14:paraId="762F927F"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Urapporteret</w:t>
            </w:r>
          </w:p>
          <w:p w14:paraId="1A1403A8" w14:textId="77777777" w:rsidR="00640D1A" w:rsidRPr="00D07419" w:rsidRDefault="00BE0F62"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w:t>
            </w:r>
            <w:r w:rsidR="00640D1A" w:rsidRPr="00D07419">
              <w:rPr>
                <w:rFonts w:asciiTheme="minorHAnsi" w:eastAsiaTheme="minorEastAsia" w:hAnsiTheme="minorHAnsi" w:cstheme="minorBidi"/>
                <w:b w:val="0"/>
                <w:color w:val="auto"/>
                <w:szCs w:val="22"/>
              </w:rPr>
              <w:t>angst</w:t>
            </w:r>
          </w:p>
        </w:tc>
        <w:tc>
          <w:tcPr>
            <w:tcW w:w="498" w:type="pct"/>
          </w:tcPr>
          <w:p w14:paraId="0CDCFEB4" w14:textId="77777777" w:rsidR="00640D1A" w:rsidRPr="00D07419" w:rsidRDefault="00601AB3"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Pr>
                <w:rFonts w:asciiTheme="minorHAnsi" w:eastAsiaTheme="minorEastAsia" w:hAnsiTheme="minorHAnsi" w:cstheme="minorBidi"/>
                <w:b w:val="0"/>
                <w:color w:val="auto"/>
                <w:szCs w:val="22"/>
              </w:rPr>
              <w:t>8.5</w:t>
            </w:r>
            <w:r w:rsidR="00640D1A">
              <w:rPr>
                <w:rFonts w:asciiTheme="minorHAnsi" w:eastAsiaTheme="minorEastAsia" w:hAnsiTheme="minorHAnsi" w:cstheme="minorBidi"/>
                <w:b w:val="0"/>
                <w:color w:val="auto"/>
                <w:szCs w:val="22"/>
              </w:rPr>
              <w:t xml:space="preserve"> </w:t>
            </w:r>
            <w:r w:rsidR="00640D1A" w:rsidRPr="00D07419">
              <w:rPr>
                <w:rFonts w:asciiTheme="minorHAnsi" w:eastAsiaTheme="minorEastAsia" w:hAnsiTheme="minorHAnsi" w:cstheme="minorBidi"/>
                <w:b w:val="0"/>
                <w:color w:val="auto"/>
                <w:szCs w:val="22"/>
              </w:rPr>
              <w:t>%</w:t>
            </w:r>
          </w:p>
          <w:p w14:paraId="1523FB7C"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tab</w:t>
            </w:r>
          </w:p>
        </w:tc>
        <w:tc>
          <w:tcPr>
            <w:tcW w:w="665" w:type="pct"/>
          </w:tcPr>
          <w:p w14:paraId="20739173"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Anden</w:t>
            </w:r>
          </w:p>
          <w:p w14:paraId="0C9FB49C"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aflivning</w:t>
            </w:r>
          </w:p>
        </w:tc>
        <w:tc>
          <w:tcPr>
            <w:tcW w:w="456" w:type="pct"/>
          </w:tcPr>
          <w:p w14:paraId="65E07141"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6E65A75F"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Total</w:t>
            </w:r>
          </w:p>
        </w:tc>
        <w:tc>
          <w:tcPr>
            <w:tcW w:w="816" w:type="pct"/>
          </w:tcPr>
          <w:p w14:paraId="4CD2E2C5"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515271C3"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Rådgivning</w:t>
            </w:r>
          </w:p>
        </w:tc>
      </w:tr>
      <w:tr w:rsidR="00754EE9" w14:paraId="05FEBB57" w14:textId="77777777" w:rsidTr="000F72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3FC176AF" w14:textId="77777777" w:rsidR="00640D1A" w:rsidRPr="00D07419" w:rsidRDefault="00640D1A"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754EE9">
              <w:rPr>
                <w:rFonts w:asciiTheme="minorHAnsi" w:eastAsiaTheme="minorEastAsia" w:hAnsiTheme="minorHAnsi" w:cstheme="minorBidi"/>
                <w:b w:val="0"/>
                <w:color w:val="auto"/>
              </w:rPr>
              <w:t>4</w:t>
            </w:r>
          </w:p>
        </w:tc>
        <w:tc>
          <w:tcPr>
            <w:tcW w:w="892" w:type="pct"/>
          </w:tcPr>
          <w:p w14:paraId="7BF2E5F2" w14:textId="77777777" w:rsidR="00640D1A"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r w:rsidR="00754EE9">
              <w:rPr>
                <w:rFonts w:asciiTheme="minorHAnsi" w:eastAsiaTheme="minorEastAsia" w:hAnsiTheme="minorHAnsi" w:cstheme="minorBidi"/>
                <w:color w:val="auto"/>
              </w:rPr>
              <w:t>40</w:t>
            </w:r>
          </w:p>
        </w:tc>
        <w:tc>
          <w:tcPr>
            <w:tcW w:w="960" w:type="pct"/>
          </w:tcPr>
          <w:p w14:paraId="306C74F8" w14:textId="77777777" w:rsidR="00640D1A" w:rsidRDefault="002832C8"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4BD011E7" w14:textId="77777777" w:rsidR="00640D1A"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r w:rsidR="00754EE9">
              <w:rPr>
                <w:rFonts w:asciiTheme="minorHAnsi" w:eastAsiaTheme="minorEastAsia" w:hAnsiTheme="minorHAnsi" w:cstheme="minorBidi"/>
                <w:color w:val="auto"/>
              </w:rPr>
              <w:t>0</w:t>
            </w:r>
          </w:p>
        </w:tc>
        <w:tc>
          <w:tcPr>
            <w:tcW w:w="665" w:type="pct"/>
          </w:tcPr>
          <w:p w14:paraId="084BB386" w14:textId="77777777" w:rsidR="00640D1A" w:rsidRDefault="002832C8"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5B32BEAB" w14:textId="77777777" w:rsidR="00640D1A" w:rsidRDefault="00754EE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260</w:t>
            </w:r>
          </w:p>
        </w:tc>
        <w:tc>
          <w:tcPr>
            <w:tcW w:w="816" w:type="pct"/>
          </w:tcPr>
          <w:p w14:paraId="44C99FA8" w14:textId="77777777" w:rsidR="00640D1A" w:rsidRDefault="00640D1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310</w:t>
            </w:r>
          </w:p>
        </w:tc>
      </w:tr>
      <w:tr w:rsidR="00640D1A" w14:paraId="66BF9CC3" w14:textId="77777777" w:rsidTr="000F721F">
        <w:trPr>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18659AC7" w14:textId="77777777" w:rsidR="00640D1A" w:rsidRPr="00D07419" w:rsidRDefault="00640D1A"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754EE9">
              <w:rPr>
                <w:rFonts w:asciiTheme="minorHAnsi" w:eastAsiaTheme="minorEastAsia" w:hAnsiTheme="minorHAnsi" w:cstheme="minorBidi"/>
                <w:b w:val="0"/>
                <w:color w:val="auto"/>
              </w:rPr>
              <w:t>5</w:t>
            </w:r>
          </w:p>
        </w:tc>
        <w:tc>
          <w:tcPr>
            <w:tcW w:w="892" w:type="pct"/>
          </w:tcPr>
          <w:p w14:paraId="0CEF712E" w14:textId="77777777" w:rsidR="00640D1A" w:rsidRDefault="00754EE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12</w:t>
            </w:r>
            <w:r w:rsidR="00F1475B">
              <w:rPr>
                <w:rFonts w:asciiTheme="minorHAnsi" w:eastAsiaTheme="minorEastAsia" w:hAnsiTheme="minorHAnsi" w:cstheme="minorBidi"/>
                <w:color w:val="auto"/>
              </w:rPr>
              <w:t>0</w:t>
            </w:r>
          </w:p>
        </w:tc>
        <w:tc>
          <w:tcPr>
            <w:tcW w:w="960" w:type="pct"/>
          </w:tcPr>
          <w:p w14:paraId="58D59D9E" w14:textId="77777777" w:rsidR="00640D1A" w:rsidRDefault="002832C8"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160CA12D" w14:textId="77777777" w:rsidR="00640D1A" w:rsidRDefault="00754EE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r w:rsidR="00F1475B">
              <w:rPr>
                <w:rFonts w:asciiTheme="minorHAnsi" w:eastAsiaTheme="minorEastAsia" w:hAnsiTheme="minorHAnsi" w:cstheme="minorBidi"/>
                <w:color w:val="auto"/>
              </w:rPr>
              <w:t>0</w:t>
            </w:r>
          </w:p>
        </w:tc>
        <w:tc>
          <w:tcPr>
            <w:tcW w:w="665" w:type="pct"/>
          </w:tcPr>
          <w:p w14:paraId="7D8FE89A" w14:textId="77777777" w:rsidR="00640D1A" w:rsidRDefault="002832C8"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14DB5110" w14:textId="77777777" w:rsidR="00640D1A" w:rsidRDefault="00754EE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13</w:t>
            </w:r>
            <w:r w:rsidR="00F1475B">
              <w:rPr>
                <w:rFonts w:asciiTheme="minorHAnsi" w:eastAsiaTheme="minorEastAsia" w:hAnsiTheme="minorHAnsi" w:cstheme="minorBidi"/>
              </w:rPr>
              <w:t>0</w:t>
            </w:r>
          </w:p>
        </w:tc>
        <w:tc>
          <w:tcPr>
            <w:tcW w:w="816" w:type="pct"/>
          </w:tcPr>
          <w:p w14:paraId="3CC182B1" w14:textId="77777777" w:rsidR="00640D1A" w:rsidRDefault="00640D1A"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310</w:t>
            </w:r>
          </w:p>
        </w:tc>
      </w:tr>
      <w:tr w:rsidR="00754EE9" w14:paraId="7DD08E72" w14:textId="77777777" w:rsidTr="000F72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5FEDC439" w14:textId="77777777" w:rsidR="00640D1A" w:rsidRPr="00D07419" w:rsidRDefault="00640D1A"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754EE9">
              <w:rPr>
                <w:rFonts w:asciiTheme="minorHAnsi" w:eastAsiaTheme="minorEastAsia" w:hAnsiTheme="minorHAnsi" w:cstheme="minorBidi"/>
                <w:b w:val="0"/>
                <w:color w:val="auto"/>
              </w:rPr>
              <w:t>6</w:t>
            </w:r>
          </w:p>
        </w:tc>
        <w:tc>
          <w:tcPr>
            <w:tcW w:w="892" w:type="pct"/>
          </w:tcPr>
          <w:p w14:paraId="3F8DA150" w14:textId="77777777" w:rsidR="00640D1A" w:rsidRDefault="004E6CE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187</w:t>
            </w:r>
          </w:p>
        </w:tc>
        <w:tc>
          <w:tcPr>
            <w:tcW w:w="960" w:type="pct"/>
          </w:tcPr>
          <w:p w14:paraId="37725567" w14:textId="77777777" w:rsidR="00640D1A"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38431401" w14:textId="77777777" w:rsidR="00640D1A" w:rsidRDefault="004E6CE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16</w:t>
            </w:r>
          </w:p>
        </w:tc>
        <w:tc>
          <w:tcPr>
            <w:tcW w:w="665" w:type="pct"/>
          </w:tcPr>
          <w:p w14:paraId="00633E10" w14:textId="77777777" w:rsidR="00640D1A"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7A509B2A" w14:textId="77777777" w:rsidR="00640D1A" w:rsidRDefault="004E6CE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203</w:t>
            </w:r>
          </w:p>
        </w:tc>
        <w:tc>
          <w:tcPr>
            <w:tcW w:w="816" w:type="pct"/>
          </w:tcPr>
          <w:p w14:paraId="015D92AC" w14:textId="77777777" w:rsidR="00640D1A" w:rsidRDefault="00640D1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3</w:t>
            </w:r>
            <w:r w:rsidR="00AF03C3">
              <w:rPr>
                <w:rFonts w:asciiTheme="minorHAnsi" w:eastAsiaTheme="minorEastAsia" w:hAnsiTheme="minorHAnsi" w:cstheme="minorBidi"/>
              </w:rPr>
              <w:t>2</w:t>
            </w:r>
            <w:r>
              <w:rPr>
                <w:rFonts w:asciiTheme="minorHAnsi" w:eastAsiaTheme="minorEastAsia" w:hAnsiTheme="minorHAnsi" w:cstheme="minorBidi"/>
              </w:rPr>
              <w:t>0</w:t>
            </w:r>
          </w:p>
        </w:tc>
      </w:tr>
      <w:tr w:rsidR="000F721F" w14:paraId="0554959F" w14:textId="77777777" w:rsidTr="000F721F">
        <w:trPr>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44F5B3EF" w14:textId="77777777" w:rsidR="000F721F" w:rsidRPr="000F721F" w:rsidRDefault="000F721F" w:rsidP="00066B5D">
            <w:pPr>
              <w:rPr>
                <w:rFonts w:asciiTheme="minorHAnsi" w:eastAsiaTheme="minorEastAsia" w:hAnsiTheme="minorHAnsi" w:cstheme="minorBidi"/>
                <w:b w:val="0"/>
              </w:rPr>
            </w:pPr>
            <w:r>
              <w:rPr>
                <w:rFonts w:asciiTheme="minorHAnsi" w:eastAsiaTheme="minorEastAsia" w:hAnsiTheme="minorHAnsi" w:cstheme="minorBidi"/>
                <w:b w:val="0"/>
              </w:rPr>
              <w:t>i alt</w:t>
            </w:r>
          </w:p>
        </w:tc>
        <w:tc>
          <w:tcPr>
            <w:tcW w:w="892" w:type="pct"/>
          </w:tcPr>
          <w:p w14:paraId="2104BB42" w14:textId="77777777" w:rsidR="000F721F"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547</w:t>
            </w:r>
          </w:p>
        </w:tc>
        <w:tc>
          <w:tcPr>
            <w:tcW w:w="960" w:type="pct"/>
          </w:tcPr>
          <w:p w14:paraId="4D9087E0" w14:textId="77777777" w:rsidR="000F721F" w:rsidRDefault="000F721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98" w:type="pct"/>
          </w:tcPr>
          <w:p w14:paraId="3CB97F5B" w14:textId="77777777" w:rsidR="000F721F" w:rsidRDefault="00646F59" w:rsidP="000F721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46</w:t>
            </w:r>
          </w:p>
        </w:tc>
        <w:tc>
          <w:tcPr>
            <w:tcW w:w="665" w:type="pct"/>
          </w:tcPr>
          <w:p w14:paraId="33579DE0" w14:textId="77777777" w:rsidR="000F721F" w:rsidRDefault="000F721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56" w:type="pct"/>
          </w:tcPr>
          <w:p w14:paraId="43506FB8" w14:textId="77777777" w:rsidR="000F721F"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593</w:t>
            </w:r>
          </w:p>
        </w:tc>
        <w:tc>
          <w:tcPr>
            <w:tcW w:w="816" w:type="pct"/>
          </w:tcPr>
          <w:p w14:paraId="7FDABB69" w14:textId="77777777" w:rsidR="000F721F" w:rsidRDefault="00AF03C3"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940</w:t>
            </w:r>
          </w:p>
        </w:tc>
      </w:tr>
    </w:tbl>
    <w:p w14:paraId="18FCAC96" w14:textId="77777777" w:rsidR="004613F9" w:rsidRDefault="004613F9" w:rsidP="004613F9">
      <w:pPr>
        <w:spacing w:before="240"/>
      </w:pPr>
    </w:p>
    <w:tbl>
      <w:tblPr>
        <w:tblStyle w:val="Lysskygge-farve1"/>
        <w:tblW w:w="4620" w:type="pct"/>
        <w:tblLook w:val="04A0" w:firstRow="1" w:lastRow="0" w:firstColumn="1" w:lastColumn="0" w:noHBand="0" w:noVBand="1"/>
      </w:tblPr>
      <w:tblGrid>
        <w:gridCol w:w="1225"/>
        <w:gridCol w:w="1533"/>
        <w:gridCol w:w="1649"/>
        <w:gridCol w:w="856"/>
        <w:gridCol w:w="1143"/>
        <w:gridCol w:w="783"/>
        <w:gridCol w:w="1402"/>
      </w:tblGrid>
      <w:tr w:rsidR="00640D1A" w14:paraId="0E35E7D9" w14:textId="77777777" w:rsidTr="000F721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3075B655" w14:textId="77777777" w:rsidR="00640D1A" w:rsidRPr="00484CBC" w:rsidRDefault="00601AB3" w:rsidP="00066B5D">
            <w:pPr>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Qaanaaq</w:t>
            </w:r>
          </w:p>
        </w:tc>
        <w:tc>
          <w:tcPr>
            <w:tcW w:w="892" w:type="pct"/>
          </w:tcPr>
          <w:p w14:paraId="2EE0AB6E"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Rapporteret</w:t>
            </w:r>
          </w:p>
          <w:p w14:paraId="7C1D588C"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960" w:type="pct"/>
          </w:tcPr>
          <w:p w14:paraId="0CDAFEE7"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Urapporteret</w:t>
            </w:r>
          </w:p>
          <w:p w14:paraId="4871AA20" w14:textId="77777777" w:rsidR="00640D1A" w:rsidRPr="00D07419" w:rsidRDefault="00BE0F62"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w:t>
            </w:r>
            <w:r w:rsidR="00640D1A" w:rsidRPr="00D07419">
              <w:rPr>
                <w:rFonts w:asciiTheme="minorHAnsi" w:eastAsiaTheme="minorEastAsia" w:hAnsiTheme="minorHAnsi" w:cstheme="minorBidi"/>
                <w:b w:val="0"/>
                <w:color w:val="auto"/>
                <w:szCs w:val="22"/>
              </w:rPr>
              <w:t>angst</w:t>
            </w:r>
          </w:p>
        </w:tc>
        <w:tc>
          <w:tcPr>
            <w:tcW w:w="498" w:type="pct"/>
          </w:tcPr>
          <w:p w14:paraId="4B986F08" w14:textId="77777777" w:rsidR="00640D1A" w:rsidRPr="00D07419" w:rsidRDefault="00601AB3"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Pr>
                <w:rFonts w:asciiTheme="minorHAnsi" w:eastAsiaTheme="minorEastAsia" w:hAnsiTheme="minorHAnsi" w:cstheme="minorBidi"/>
                <w:b w:val="0"/>
                <w:color w:val="auto"/>
                <w:szCs w:val="22"/>
              </w:rPr>
              <w:t>5.0</w:t>
            </w:r>
            <w:r w:rsidR="00640D1A">
              <w:rPr>
                <w:rFonts w:asciiTheme="minorHAnsi" w:eastAsiaTheme="minorEastAsia" w:hAnsiTheme="minorHAnsi" w:cstheme="minorBidi"/>
                <w:b w:val="0"/>
                <w:color w:val="auto"/>
                <w:szCs w:val="22"/>
              </w:rPr>
              <w:t xml:space="preserve"> </w:t>
            </w:r>
            <w:r w:rsidR="00640D1A" w:rsidRPr="00D07419">
              <w:rPr>
                <w:rFonts w:asciiTheme="minorHAnsi" w:eastAsiaTheme="minorEastAsia" w:hAnsiTheme="minorHAnsi" w:cstheme="minorBidi"/>
                <w:b w:val="0"/>
                <w:color w:val="auto"/>
                <w:szCs w:val="22"/>
              </w:rPr>
              <w:t>%</w:t>
            </w:r>
          </w:p>
          <w:p w14:paraId="31E864D7"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tab</w:t>
            </w:r>
          </w:p>
        </w:tc>
        <w:tc>
          <w:tcPr>
            <w:tcW w:w="665" w:type="pct"/>
          </w:tcPr>
          <w:p w14:paraId="3B716B44"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Anden</w:t>
            </w:r>
          </w:p>
          <w:p w14:paraId="092CDD68"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aflivning</w:t>
            </w:r>
          </w:p>
        </w:tc>
        <w:tc>
          <w:tcPr>
            <w:tcW w:w="456" w:type="pct"/>
          </w:tcPr>
          <w:p w14:paraId="1936A01F"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5FA987B9"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Total</w:t>
            </w:r>
          </w:p>
        </w:tc>
        <w:tc>
          <w:tcPr>
            <w:tcW w:w="816" w:type="pct"/>
          </w:tcPr>
          <w:p w14:paraId="05C8A278"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7D0D9C66" w14:textId="77777777" w:rsidR="00640D1A" w:rsidRPr="00D07419" w:rsidRDefault="00640D1A"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Rådgivning</w:t>
            </w:r>
          </w:p>
        </w:tc>
      </w:tr>
      <w:tr w:rsidR="00640D1A" w14:paraId="248ABC5D" w14:textId="77777777" w:rsidTr="000F72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450C2DCC" w14:textId="77777777" w:rsidR="00640D1A" w:rsidRPr="00D07419" w:rsidRDefault="00640D1A"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754EE9">
              <w:rPr>
                <w:rFonts w:asciiTheme="minorHAnsi" w:eastAsiaTheme="minorEastAsia" w:hAnsiTheme="minorHAnsi" w:cstheme="minorBidi"/>
                <w:b w:val="0"/>
                <w:color w:val="auto"/>
              </w:rPr>
              <w:t>4</w:t>
            </w:r>
          </w:p>
        </w:tc>
        <w:tc>
          <w:tcPr>
            <w:tcW w:w="892" w:type="pct"/>
          </w:tcPr>
          <w:p w14:paraId="7F45CD43" w14:textId="77777777" w:rsidR="00640D1A" w:rsidRDefault="00754EE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31</w:t>
            </w:r>
          </w:p>
        </w:tc>
        <w:tc>
          <w:tcPr>
            <w:tcW w:w="960" w:type="pct"/>
          </w:tcPr>
          <w:p w14:paraId="33E08198" w14:textId="77777777" w:rsidR="00640D1A"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46D8809B" w14:textId="77777777" w:rsidR="00640D1A" w:rsidRDefault="00754EE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665" w:type="pct"/>
          </w:tcPr>
          <w:p w14:paraId="7ACA92B9" w14:textId="77777777" w:rsidR="00640D1A"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486BA9EF" w14:textId="77777777" w:rsidR="00640D1A" w:rsidRDefault="00754EE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33</w:t>
            </w:r>
          </w:p>
        </w:tc>
        <w:tc>
          <w:tcPr>
            <w:tcW w:w="816" w:type="pct"/>
          </w:tcPr>
          <w:p w14:paraId="656310DC" w14:textId="77777777" w:rsidR="00640D1A" w:rsidRDefault="00640D1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fangst ok</w:t>
            </w:r>
          </w:p>
        </w:tc>
      </w:tr>
      <w:tr w:rsidR="00640D1A" w14:paraId="0454B25E" w14:textId="77777777" w:rsidTr="000F721F">
        <w:trPr>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7968F999" w14:textId="77777777" w:rsidR="00640D1A" w:rsidRPr="00D07419" w:rsidRDefault="00640D1A"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754EE9">
              <w:rPr>
                <w:rFonts w:asciiTheme="minorHAnsi" w:eastAsiaTheme="minorEastAsia" w:hAnsiTheme="minorHAnsi" w:cstheme="minorBidi"/>
                <w:b w:val="0"/>
                <w:color w:val="auto"/>
              </w:rPr>
              <w:t>5</w:t>
            </w:r>
          </w:p>
        </w:tc>
        <w:tc>
          <w:tcPr>
            <w:tcW w:w="892" w:type="pct"/>
          </w:tcPr>
          <w:p w14:paraId="4B3C5D2A" w14:textId="77777777" w:rsidR="00640D1A" w:rsidRDefault="00754EE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w:t>
            </w:r>
          </w:p>
        </w:tc>
        <w:tc>
          <w:tcPr>
            <w:tcW w:w="960" w:type="pct"/>
          </w:tcPr>
          <w:p w14:paraId="65CEF464" w14:textId="77777777" w:rsidR="00640D1A" w:rsidRDefault="00F1475B"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4F827BE4" w14:textId="77777777" w:rsidR="00640D1A" w:rsidRDefault="00754EE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65" w:type="pct"/>
          </w:tcPr>
          <w:p w14:paraId="5BD7B251" w14:textId="77777777" w:rsidR="00640D1A" w:rsidRDefault="00F1475B"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7CE0BB1E" w14:textId="77777777" w:rsidR="00640D1A" w:rsidRDefault="00754EE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7</w:t>
            </w:r>
          </w:p>
        </w:tc>
        <w:tc>
          <w:tcPr>
            <w:tcW w:w="816" w:type="pct"/>
          </w:tcPr>
          <w:p w14:paraId="54776B1A" w14:textId="77777777" w:rsidR="00640D1A" w:rsidRDefault="00640D1A"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fangst ok</w:t>
            </w:r>
          </w:p>
        </w:tc>
      </w:tr>
      <w:tr w:rsidR="00640D1A" w14:paraId="49012DCE" w14:textId="77777777" w:rsidTr="000F721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404B8588" w14:textId="77777777" w:rsidR="00640D1A" w:rsidRPr="00D07419" w:rsidRDefault="00640D1A"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754EE9">
              <w:rPr>
                <w:rFonts w:asciiTheme="minorHAnsi" w:eastAsiaTheme="minorEastAsia" w:hAnsiTheme="minorHAnsi" w:cstheme="minorBidi"/>
                <w:b w:val="0"/>
                <w:color w:val="auto"/>
              </w:rPr>
              <w:t>6</w:t>
            </w:r>
          </w:p>
        </w:tc>
        <w:tc>
          <w:tcPr>
            <w:tcW w:w="892" w:type="pct"/>
          </w:tcPr>
          <w:p w14:paraId="2C4E93E4" w14:textId="77777777" w:rsidR="00640D1A" w:rsidRDefault="00CD260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16</w:t>
            </w:r>
          </w:p>
        </w:tc>
        <w:tc>
          <w:tcPr>
            <w:tcW w:w="960" w:type="pct"/>
          </w:tcPr>
          <w:p w14:paraId="5D8C515E" w14:textId="77777777" w:rsidR="00640D1A"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98" w:type="pct"/>
          </w:tcPr>
          <w:p w14:paraId="6B1A5E2F" w14:textId="77777777" w:rsidR="00640D1A" w:rsidRDefault="004E6CE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665" w:type="pct"/>
          </w:tcPr>
          <w:p w14:paraId="6D9C2583" w14:textId="77777777" w:rsidR="00640D1A"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56" w:type="pct"/>
          </w:tcPr>
          <w:p w14:paraId="1A57F6EC" w14:textId="77777777" w:rsidR="00640D1A" w:rsidRDefault="004E6CE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17</w:t>
            </w:r>
          </w:p>
        </w:tc>
        <w:tc>
          <w:tcPr>
            <w:tcW w:w="816" w:type="pct"/>
          </w:tcPr>
          <w:p w14:paraId="3BA8779A" w14:textId="77777777" w:rsidR="00640D1A" w:rsidRDefault="00640D1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fangst ok</w:t>
            </w:r>
          </w:p>
        </w:tc>
      </w:tr>
      <w:tr w:rsidR="000F721F" w14:paraId="37603E4B" w14:textId="77777777" w:rsidTr="000F721F">
        <w:trPr>
          <w:trHeight w:val="315"/>
        </w:trPr>
        <w:tc>
          <w:tcPr>
            <w:cnfStyle w:val="001000000000" w:firstRow="0" w:lastRow="0" w:firstColumn="1" w:lastColumn="0" w:oddVBand="0" w:evenVBand="0" w:oddHBand="0" w:evenHBand="0" w:firstRowFirstColumn="0" w:firstRowLastColumn="0" w:lastRowFirstColumn="0" w:lastRowLastColumn="0"/>
            <w:tcW w:w="713" w:type="pct"/>
            <w:noWrap/>
          </w:tcPr>
          <w:p w14:paraId="4D471007" w14:textId="77777777" w:rsidR="000F721F" w:rsidRPr="000F721F" w:rsidRDefault="000F721F" w:rsidP="00066B5D">
            <w:pPr>
              <w:rPr>
                <w:rFonts w:asciiTheme="minorHAnsi" w:eastAsiaTheme="minorEastAsia" w:hAnsiTheme="minorHAnsi" w:cstheme="minorBidi"/>
                <w:b w:val="0"/>
              </w:rPr>
            </w:pPr>
            <w:r>
              <w:rPr>
                <w:rFonts w:asciiTheme="minorHAnsi" w:eastAsiaTheme="minorEastAsia" w:hAnsiTheme="minorHAnsi" w:cstheme="minorBidi"/>
                <w:b w:val="0"/>
              </w:rPr>
              <w:t>i alt</w:t>
            </w:r>
          </w:p>
        </w:tc>
        <w:tc>
          <w:tcPr>
            <w:tcW w:w="892" w:type="pct"/>
          </w:tcPr>
          <w:p w14:paraId="3A3EAE5E" w14:textId="77777777" w:rsidR="000F721F"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54</w:t>
            </w:r>
          </w:p>
        </w:tc>
        <w:tc>
          <w:tcPr>
            <w:tcW w:w="960" w:type="pct"/>
          </w:tcPr>
          <w:p w14:paraId="11B40D1D" w14:textId="77777777" w:rsidR="000F721F" w:rsidRDefault="000F721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98" w:type="pct"/>
          </w:tcPr>
          <w:p w14:paraId="4367D785" w14:textId="77777777" w:rsidR="000F721F"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3</w:t>
            </w:r>
          </w:p>
        </w:tc>
        <w:tc>
          <w:tcPr>
            <w:tcW w:w="665" w:type="pct"/>
          </w:tcPr>
          <w:p w14:paraId="01C3D5D3" w14:textId="77777777" w:rsidR="000F721F" w:rsidRDefault="000F721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56" w:type="pct"/>
          </w:tcPr>
          <w:p w14:paraId="50EE9E39" w14:textId="77777777" w:rsidR="000F721F" w:rsidRDefault="00646F5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57</w:t>
            </w:r>
          </w:p>
        </w:tc>
        <w:tc>
          <w:tcPr>
            <w:tcW w:w="816" w:type="pct"/>
          </w:tcPr>
          <w:p w14:paraId="6D38CEBE" w14:textId="77777777" w:rsidR="000F721F" w:rsidRDefault="000F721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fangst ok</w:t>
            </w:r>
          </w:p>
        </w:tc>
      </w:tr>
    </w:tbl>
    <w:p w14:paraId="0242930C" w14:textId="77777777" w:rsidR="000C2361" w:rsidRDefault="000C2361" w:rsidP="004613F9">
      <w:pPr>
        <w:pStyle w:val="Overskrift1"/>
      </w:pPr>
    </w:p>
    <w:p w14:paraId="4F0FF7FE" w14:textId="77777777" w:rsidR="00BA2342" w:rsidRDefault="00BA2342">
      <w:pPr>
        <w:spacing w:after="200" w:line="276" w:lineRule="auto"/>
        <w:rPr>
          <w:rFonts w:asciiTheme="majorHAnsi" w:eastAsiaTheme="majorEastAsia" w:hAnsiTheme="majorHAnsi" w:cstheme="majorBidi"/>
          <w:b/>
          <w:bCs/>
          <w:color w:val="365F91" w:themeColor="accent1" w:themeShade="BF"/>
          <w:sz w:val="32"/>
          <w:szCs w:val="28"/>
        </w:rPr>
      </w:pPr>
      <w:r>
        <w:br w:type="page"/>
      </w:r>
    </w:p>
    <w:p w14:paraId="32A9B3CD" w14:textId="77777777" w:rsidR="004613F9" w:rsidRDefault="004613F9" w:rsidP="004613F9">
      <w:pPr>
        <w:pStyle w:val="Overskrift1"/>
      </w:pPr>
      <w:r>
        <w:t>Hvalros</w:t>
      </w:r>
    </w:p>
    <w:p w14:paraId="336398DD" w14:textId="71806E0F" w:rsidR="0008353B" w:rsidRDefault="001F476D" w:rsidP="004613F9">
      <w:pPr>
        <w:spacing w:before="240"/>
      </w:pPr>
      <w:r>
        <w:t>Fangsten i 2014 falder under NAMMCO</w:t>
      </w:r>
      <w:r w:rsidR="00230EEC">
        <w:t>-</w:t>
      </w:r>
      <w:r>
        <w:t xml:space="preserve">rådgivningen fra 2010, mens fangsten i 2015 </w:t>
      </w:r>
      <w:r w:rsidR="003B5F04">
        <w:t xml:space="preserve">og 2016 </w:t>
      </w:r>
      <w:r>
        <w:t>relaterer til NAMMCO</w:t>
      </w:r>
      <w:r w:rsidR="00230EEC">
        <w:t>-</w:t>
      </w:r>
      <w:r>
        <w:t>rådgivningen fra 201</w:t>
      </w:r>
      <w:r w:rsidR="005F32C6">
        <w:t>4 (2013 Annual Report)</w:t>
      </w:r>
      <w:r w:rsidR="003B5F04">
        <w:t>; med undtagelse af Qaanaaq hvor fangsterne i 2016 falder under rådgivningen fra 2015 (</w:t>
      </w:r>
      <w:r w:rsidR="00EA02BF">
        <w:t>SC/22/2015</w:t>
      </w:r>
      <w:r w:rsidR="003B5F04">
        <w:t>)</w:t>
      </w:r>
      <w:r>
        <w:t xml:space="preserve">. </w:t>
      </w:r>
      <w:r w:rsidR="003B5F04">
        <w:t>R</w:t>
      </w:r>
      <w:r>
        <w:t>ådgivninge</w:t>
      </w:r>
      <w:r w:rsidR="003B5F04">
        <w:t xml:space="preserve">n </w:t>
      </w:r>
      <w:r w:rsidR="002E4EB8">
        <w:t xml:space="preserve">for 2010 og 2014 </w:t>
      </w:r>
      <w:r>
        <w:t>inkluderer dyr</w:t>
      </w:r>
      <w:r w:rsidR="009F72ED">
        <w:t>,</w:t>
      </w:r>
      <w:r w:rsidR="003B5F04">
        <w:t xml:space="preserve"> der går tabt i fangsten, </w:t>
      </w:r>
      <w:r w:rsidR="002E4EB8">
        <w:t xml:space="preserve">mens </w:t>
      </w:r>
      <w:r w:rsidR="003B5F04">
        <w:t xml:space="preserve">2015 rådgivningen for Qaanaaq </w:t>
      </w:r>
      <w:r w:rsidR="002E4EB8">
        <w:t xml:space="preserve">er </w:t>
      </w:r>
      <w:r w:rsidR="003B5F04">
        <w:t>opgivet i dyr</w:t>
      </w:r>
      <w:r w:rsidR="00180E99">
        <w:t xml:space="preserve"> der er fanget </w:t>
      </w:r>
      <w:r w:rsidR="00BE0F62">
        <w:t>(angivet med *)</w:t>
      </w:r>
      <w:r w:rsidR="003B5F04">
        <w:t>.</w:t>
      </w:r>
    </w:p>
    <w:p w14:paraId="0EEC2483" w14:textId="77777777" w:rsidR="00DD1D30" w:rsidRDefault="00BE0F62" w:rsidP="00DD1D30">
      <w:pPr>
        <w:spacing w:before="240"/>
      </w:pPr>
      <w:r>
        <w:t>For Qaanaaq er f</w:t>
      </w:r>
      <w:r w:rsidR="00816D63">
        <w:t xml:space="preserve">angsterne for det tre årlige gennemsnit stadigvæk en </w:t>
      </w:r>
      <w:r>
        <w:t xml:space="preserve">smule </w:t>
      </w:r>
      <w:r w:rsidR="00816D63">
        <w:t>større end den samlede rådgivning for perioden</w:t>
      </w:r>
      <w:r w:rsidR="00450831">
        <w:t>. Do</w:t>
      </w:r>
      <w:r w:rsidR="00517EE1">
        <w:t>g afgives der en NDF</w:t>
      </w:r>
      <w:r w:rsidR="00816D63">
        <w:t xml:space="preserve"> erklæring</w:t>
      </w:r>
      <w:r w:rsidR="009F72ED">
        <w:t>,</w:t>
      </w:r>
      <w:r w:rsidR="00816D63">
        <w:t xml:space="preserve"> </w:t>
      </w:r>
      <w:r w:rsidR="00450831">
        <w:t>da kvoten for 2016 fulgte rådgivningen</w:t>
      </w:r>
      <w:r w:rsidR="009F72ED">
        <w:t>,</w:t>
      </w:r>
      <w:r w:rsidR="00450831">
        <w:t xml:space="preserve"> og de samlede fangster for 2015 og 2016 </w:t>
      </w:r>
      <w:r w:rsidR="000078F3">
        <w:t>lå</w:t>
      </w:r>
      <w:r w:rsidR="005904AC">
        <w:t xml:space="preserve"> </w:t>
      </w:r>
      <w:r w:rsidR="00450831">
        <w:t xml:space="preserve">under rådgivningen. </w:t>
      </w:r>
    </w:p>
    <w:p w14:paraId="14418158" w14:textId="77777777" w:rsidR="00DD1D30" w:rsidRDefault="00DD1D30" w:rsidP="004613F9">
      <w:pPr>
        <w:spacing w:before="240"/>
      </w:pPr>
    </w:p>
    <w:tbl>
      <w:tblPr>
        <w:tblStyle w:val="Lysskygge-farve1"/>
        <w:tblW w:w="5258" w:type="pct"/>
        <w:tblLook w:val="04A0" w:firstRow="1" w:lastRow="0" w:firstColumn="1" w:lastColumn="0" w:noHBand="0" w:noVBand="1"/>
      </w:tblPr>
      <w:tblGrid>
        <w:gridCol w:w="1195"/>
        <w:gridCol w:w="1504"/>
        <w:gridCol w:w="1620"/>
        <w:gridCol w:w="1158"/>
        <w:gridCol w:w="828"/>
        <w:gridCol w:w="1113"/>
        <w:gridCol w:w="986"/>
        <w:gridCol w:w="1374"/>
      </w:tblGrid>
      <w:tr w:rsidR="00847B26" w14:paraId="5BE0C173" w14:textId="77777777" w:rsidTr="00066B5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300BD8F3" w14:textId="77777777" w:rsidR="00847B26" w:rsidRPr="00484CBC" w:rsidRDefault="00847B26" w:rsidP="00066B5D">
            <w:pPr>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Qaanaaq</w:t>
            </w:r>
          </w:p>
        </w:tc>
        <w:tc>
          <w:tcPr>
            <w:tcW w:w="784" w:type="pct"/>
          </w:tcPr>
          <w:p w14:paraId="518E9CCC"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Rapporteret</w:t>
            </w:r>
          </w:p>
          <w:p w14:paraId="672212A0"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843" w:type="pct"/>
          </w:tcPr>
          <w:p w14:paraId="21318022"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Urapporteret</w:t>
            </w:r>
          </w:p>
          <w:p w14:paraId="030D636F" w14:textId="77777777" w:rsidR="00847B26" w:rsidRPr="00D07419" w:rsidRDefault="00BE0F62"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w:t>
            </w:r>
            <w:r w:rsidR="00847B26" w:rsidRPr="00D07419">
              <w:rPr>
                <w:rFonts w:asciiTheme="minorHAnsi" w:eastAsiaTheme="minorEastAsia" w:hAnsiTheme="minorHAnsi" w:cstheme="minorBidi"/>
                <w:b w:val="0"/>
                <w:color w:val="auto"/>
                <w:szCs w:val="22"/>
              </w:rPr>
              <w:t>angst</w:t>
            </w:r>
          </w:p>
        </w:tc>
        <w:tc>
          <w:tcPr>
            <w:tcW w:w="607" w:type="pct"/>
          </w:tcPr>
          <w:p w14:paraId="33AC4CF3"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Canadisk</w:t>
            </w:r>
          </w:p>
          <w:p w14:paraId="7410E5E3"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438" w:type="pct"/>
          </w:tcPr>
          <w:p w14:paraId="47501D9D"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15</w:t>
            </w:r>
            <w:r w:rsidR="00152B25">
              <w:rPr>
                <w:rFonts w:asciiTheme="minorHAnsi" w:eastAsiaTheme="minorEastAsia" w:hAnsiTheme="minorHAnsi" w:cstheme="minorBidi"/>
                <w:b w:val="0"/>
                <w:color w:val="auto"/>
                <w:szCs w:val="22"/>
              </w:rPr>
              <w:t xml:space="preserve"> </w:t>
            </w:r>
            <w:r w:rsidRPr="00D07419">
              <w:rPr>
                <w:rFonts w:asciiTheme="minorHAnsi" w:eastAsiaTheme="minorEastAsia" w:hAnsiTheme="minorHAnsi" w:cstheme="minorBidi"/>
                <w:b w:val="0"/>
                <w:color w:val="auto"/>
                <w:szCs w:val="22"/>
              </w:rPr>
              <w:t>%</w:t>
            </w:r>
          </w:p>
          <w:p w14:paraId="678CFC74"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tab</w:t>
            </w:r>
          </w:p>
        </w:tc>
        <w:tc>
          <w:tcPr>
            <w:tcW w:w="584" w:type="pct"/>
          </w:tcPr>
          <w:p w14:paraId="26BDE7FA"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Anden</w:t>
            </w:r>
          </w:p>
          <w:p w14:paraId="5E7922A2"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aflivning</w:t>
            </w:r>
          </w:p>
        </w:tc>
        <w:tc>
          <w:tcPr>
            <w:tcW w:w="401" w:type="pct"/>
          </w:tcPr>
          <w:p w14:paraId="68327F42"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556D4A2B" w14:textId="77777777" w:rsidR="00585FD2" w:rsidRDefault="00847B26">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Total</w:t>
            </w:r>
            <w:r w:rsidR="00585FD2">
              <w:rPr>
                <w:rFonts w:asciiTheme="minorHAnsi" w:eastAsiaTheme="minorEastAsia" w:hAnsiTheme="minorHAnsi" w:cstheme="minorBidi"/>
                <w:szCs w:val="22"/>
              </w:rPr>
              <w:t xml:space="preserve"> /</w:t>
            </w:r>
          </w:p>
          <w:p w14:paraId="74490215" w14:textId="201EB75E" w:rsidR="00585FD2" w:rsidRPr="00D07419" w:rsidRDefault="00585FD2">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Pr>
                <w:rFonts w:asciiTheme="minorHAnsi" w:eastAsiaTheme="minorEastAsia" w:hAnsiTheme="minorHAnsi" w:cstheme="minorBidi"/>
                <w:szCs w:val="22"/>
              </w:rPr>
              <w:t>Fangst*</w:t>
            </w:r>
          </w:p>
        </w:tc>
        <w:tc>
          <w:tcPr>
            <w:tcW w:w="717" w:type="pct"/>
          </w:tcPr>
          <w:p w14:paraId="2FE1CA2E"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04160594"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Rådgivning</w:t>
            </w:r>
          </w:p>
        </w:tc>
      </w:tr>
      <w:tr w:rsidR="00847B26" w14:paraId="09DE3C3D" w14:textId="77777777" w:rsidTr="0006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586A4BF1" w14:textId="77777777" w:rsidR="00847B26" w:rsidRPr="00D07419" w:rsidRDefault="00847B26"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754EE9">
              <w:rPr>
                <w:rFonts w:asciiTheme="minorHAnsi" w:eastAsiaTheme="minorEastAsia" w:hAnsiTheme="minorHAnsi" w:cstheme="minorBidi"/>
                <w:b w:val="0"/>
                <w:color w:val="auto"/>
              </w:rPr>
              <w:t>4</w:t>
            </w:r>
          </w:p>
        </w:tc>
        <w:tc>
          <w:tcPr>
            <w:tcW w:w="784" w:type="pct"/>
          </w:tcPr>
          <w:p w14:paraId="00F03D5D" w14:textId="77777777" w:rsidR="00847B26" w:rsidRDefault="0003739C"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w:t>
            </w:r>
            <w:r w:rsidR="00754EE9">
              <w:rPr>
                <w:rFonts w:asciiTheme="minorHAnsi" w:eastAsiaTheme="minorEastAsia" w:hAnsiTheme="minorHAnsi" w:cstheme="minorBidi"/>
                <w:color w:val="auto"/>
              </w:rPr>
              <w:t>7</w:t>
            </w:r>
          </w:p>
        </w:tc>
        <w:tc>
          <w:tcPr>
            <w:tcW w:w="843" w:type="pct"/>
          </w:tcPr>
          <w:p w14:paraId="1B6EBFFA" w14:textId="77777777" w:rsidR="00847B26" w:rsidRDefault="002E32D8"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07" w:type="pct"/>
          </w:tcPr>
          <w:p w14:paraId="02C78D3A" w14:textId="77777777" w:rsidR="00847B26" w:rsidRDefault="002E32D8"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w:t>
            </w:r>
          </w:p>
        </w:tc>
        <w:tc>
          <w:tcPr>
            <w:tcW w:w="438" w:type="pct"/>
          </w:tcPr>
          <w:p w14:paraId="3C8199EA" w14:textId="77777777" w:rsidR="00847B26" w:rsidRDefault="002E32D8"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r w:rsidR="001A23D8">
              <w:rPr>
                <w:rFonts w:asciiTheme="minorHAnsi" w:eastAsiaTheme="minorEastAsia" w:hAnsiTheme="minorHAnsi" w:cstheme="minorBidi"/>
                <w:color w:val="auto"/>
              </w:rPr>
              <w:t>1</w:t>
            </w:r>
          </w:p>
        </w:tc>
        <w:tc>
          <w:tcPr>
            <w:tcW w:w="584" w:type="pct"/>
          </w:tcPr>
          <w:p w14:paraId="52FA6BCE" w14:textId="77777777" w:rsidR="00847B26" w:rsidRDefault="002E32D8"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01" w:type="pct"/>
          </w:tcPr>
          <w:p w14:paraId="6C06A310" w14:textId="77777777" w:rsidR="00847B26" w:rsidRDefault="002659D3"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8</w:t>
            </w:r>
            <w:r w:rsidR="00754EE9">
              <w:rPr>
                <w:rFonts w:asciiTheme="minorHAnsi" w:eastAsiaTheme="minorEastAsia" w:hAnsiTheme="minorHAnsi" w:cstheme="minorBidi"/>
              </w:rPr>
              <w:t>5</w:t>
            </w:r>
          </w:p>
        </w:tc>
        <w:tc>
          <w:tcPr>
            <w:tcW w:w="717" w:type="pct"/>
          </w:tcPr>
          <w:p w14:paraId="55AA85DC" w14:textId="77777777" w:rsidR="00847B26" w:rsidRDefault="001E6B8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68</w:t>
            </w:r>
          </w:p>
        </w:tc>
      </w:tr>
      <w:tr w:rsidR="00847B26" w14:paraId="6E0C116C" w14:textId="77777777" w:rsidTr="00066B5D">
        <w:trPr>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2DB9B88B" w14:textId="77777777" w:rsidR="00847B26" w:rsidRPr="00D07419" w:rsidRDefault="00847B26"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754EE9">
              <w:rPr>
                <w:rFonts w:asciiTheme="minorHAnsi" w:eastAsiaTheme="minorEastAsia" w:hAnsiTheme="minorHAnsi" w:cstheme="minorBidi"/>
                <w:b w:val="0"/>
                <w:color w:val="auto"/>
              </w:rPr>
              <w:t>5</w:t>
            </w:r>
          </w:p>
        </w:tc>
        <w:tc>
          <w:tcPr>
            <w:tcW w:w="784" w:type="pct"/>
          </w:tcPr>
          <w:p w14:paraId="48E971CE" w14:textId="77777777" w:rsidR="00847B26" w:rsidRDefault="00754EE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74</w:t>
            </w:r>
          </w:p>
        </w:tc>
        <w:tc>
          <w:tcPr>
            <w:tcW w:w="843" w:type="pct"/>
          </w:tcPr>
          <w:p w14:paraId="3EBFC65A" w14:textId="77777777" w:rsidR="00847B26" w:rsidRDefault="002E32D8"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07" w:type="pct"/>
          </w:tcPr>
          <w:p w14:paraId="5E292E5B" w14:textId="77777777" w:rsidR="00847B26" w:rsidRDefault="002E32D8"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w:t>
            </w:r>
          </w:p>
        </w:tc>
        <w:tc>
          <w:tcPr>
            <w:tcW w:w="438" w:type="pct"/>
          </w:tcPr>
          <w:p w14:paraId="6CE433B8" w14:textId="77777777" w:rsidR="00847B26" w:rsidRDefault="002E32D8" w:rsidP="001A23D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r w:rsidR="00754EE9">
              <w:rPr>
                <w:rFonts w:asciiTheme="minorHAnsi" w:eastAsiaTheme="minorEastAsia" w:hAnsiTheme="minorHAnsi" w:cstheme="minorBidi"/>
                <w:color w:val="auto"/>
              </w:rPr>
              <w:t>2</w:t>
            </w:r>
          </w:p>
        </w:tc>
        <w:tc>
          <w:tcPr>
            <w:tcW w:w="584" w:type="pct"/>
          </w:tcPr>
          <w:p w14:paraId="09A111CF" w14:textId="77777777" w:rsidR="00847B26" w:rsidRDefault="002E32D8"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01" w:type="pct"/>
          </w:tcPr>
          <w:p w14:paraId="0334DE56" w14:textId="77777777" w:rsidR="00847B26" w:rsidRDefault="00754EE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93</w:t>
            </w:r>
          </w:p>
        </w:tc>
        <w:tc>
          <w:tcPr>
            <w:tcW w:w="717" w:type="pct"/>
          </w:tcPr>
          <w:p w14:paraId="1E423C32" w14:textId="77777777" w:rsidR="00847B26" w:rsidRDefault="00087A9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93</w:t>
            </w:r>
          </w:p>
        </w:tc>
      </w:tr>
      <w:tr w:rsidR="00847B26" w14:paraId="2AC0AC32" w14:textId="77777777" w:rsidTr="0006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6005431C" w14:textId="77777777" w:rsidR="00847B26" w:rsidRPr="00D07419" w:rsidRDefault="00847B26"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754EE9">
              <w:rPr>
                <w:rFonts w:asciiTheme="minorHAnsi" w:eastAsiaTheme="minorEastAsia" w:hAnsiTheme="minorHAnsi" w:cstheme="minorBidi"/>
                <w:b w:val="0"/>
                <w:color w:val="auto"/>
              </w:rPr>
              <w:t>6</w:t>
            </w:r>
          </w:p>
        </w:tc>
        <w:tc>
          <w:tcPr>
            <w:tcW w:w="784" w:type="pct"/>
          </w:tcPr>
          <w:p w14:paraId="44EC7225" w14:textId="77777777" w:rsidR="00847B26" w:rsidRDefault="00EA2E2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74</w:t>
            </w:r>
          </w:p>
        </w:tc>
        <w:tc>
          <w:tcPr>
            <w:tcW w:w="843" w:type="pct"/>
          </w:tcPr>
          <w:p w14:paraId="3DE3E1A3" w14:textId="77777777" w:rsidR="00847B26"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07" w:type="pct"/>
          </w:tcPr>
          <w:p w14:paraId="6A540F24" w14:textId="30B29C5F" w:rsidR="00847B26" w:rsidRDefault="00585FD2"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w:t>
            </w:r>
          </w:p>
        </w:tc>
        <w:tc>
          <w:tcPr>
            <w:tcW w:w="438" w:type="pct"/>
          </w:tcPr>
          <w:p w14:paraId="35D5CB9E" w14:textId="4F25B696" w:rsidR="00847B26" w:rsidRDefault="00585FD2" w:rsidP="001A23D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12</w:t>
            </w:r>
          </w:p>
        </w:tc>
        <w:tc>
          <w:tcPr>
            <w:tcW w:w="584" w:type="pct"/>
          </w:tcPr>
          <w:p w14:paraId="65F149AF" w14:textId="77777777" w:rsidR="00847B26"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01" w:type="pct"/>
          </w:tcPr>
          <w:p w14:paraId="74A49DE1" w14:textId="77777777" w:rsidR="00847B26" w:rsidRDefault="00A14CE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74</w:t>
            </w:r>
            <w:r w:rsidR="007E5BFD">
              <w:rPr>
                <w:rFonts w:asciiTheme="minorHAnsi" w:eastAsiaTheme="minorEastAsia" w:hAnsiTheme="minorHAnsi" w:cstheme="minorBidi"/>
              </w:rPr>
              <w:t>*</w:t>
            </w:r>
          </w:p>
        </w:tc>
        <w:tc>
          <w:tcPr>
            <w:tcW w:w="717" w:type="pct"/>
          </w:tcPr>
          <w:p w14:paraId="6A49C2BD" w14:textId="77777777" w:rsidR="00847B26" w:rsidRDefault="0095484F"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85*</w:t>
            </w:r>
          </w:p>
        </w:tc>
      </w:tr>
      <w:tr w:rsidR="000F721F" w14:paraId="1DCC554F" w14:textId="77777777" w:rsidTr="00066B5D">
        <w:trPr>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3C9AC458" w14:textId="77777777" w:rsidR="000F721F" w:rsidRPr="000F721F" w:rsidRDefault="000F721F" w:rsidP="00066B5D">
            <w:pPr>
              <w:rPr>
                <w:rFonts w:asciiTheme="minorHAnsi" w:eastAsiaTheme="minorEastAsia" w:hAnsiTheme="minorHAnsi" w:cstheme="minorBidi"/>
                <w:b w:val="0"/>
              </w:rPr>
            </w:pPr>
            <w:r>
              <w:rPr>
                <w:rFonts w:asciiTheme="minorHAnsi" w:eastAsiaTheme="minorEastAsia" w:hAnsiTheme="minorHAnsi" w:cstheme="minorBidi"/>
                <w:b w:val="0"/>
              </w:rPr>
              <w:t>i alt</w:t>
            </w:r>
          </w:p>
        </w:tc>
        <w:tc>
          <w:tcPr>
            <w:tcW w:w="784" w:type="pct"/>
          </w:tcPr>
          <w:p w14:paraId="186B3711" w14:textId="77777777" w:rsidR="000F721F" w:rsidRDefault="007E5BFD"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215</w:t>
            </w:r>
          </w:p>
        </w:tc>
        <w:tc>
          <w:tcPr>
            <w:tcW w:w="843" w:type="pct"/>
          </w:tcPr>
          <w:p w14:paraId="642C4B82" w14:textId="77777777" w:rsidR="000F721F" w:rsidRDefault="000F721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607" w:type="pct"/>
          </w:tcPr>
          <w:p w14:paraId="1259AD3F" w14:textId="77777777" w:rsidR="000F721F" w:rsidRDefault="007E5BFD"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21</w:t>
            </w:r>
          </w:p>
        </w:tc>
        <w:tc>
          <w:tcPr>
            <w:tcW w:w="438" w:type="pct"/>
          </w:tcPr>
          <w:p w14:paraId="1557F666" w14:textId="77777777" w:rsidR="000F721F" w:rsidRDefault="007E5BFD" w:rsidP="001A23D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35</w:t>
            </w:r>
          </w:p>
        </w:tc>
        <w:tc>
          <w:tcPr>
            <w:tcW w:w="584" w:type="pct"/>
          </w:tcPr>
          <w:p w14:paraId="6A94567B" w14:textId="77777777" w:rsidR="000F721F" w:rsidRDefault="000F721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01" w:type="pct"/>
          </w:tcPr>
          <w:p w14:paraId="57C6AC10" w14:textId="77777777" w:rsidR="000F721F" w:rsidRDefault="007E5BFD"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25</w:t>
            </w:r>
            <w:r w:rsidR="00A14CE9">
              <w:rPr>
                <w:rFonts w:asciiTheme="minorHAnsi" w:eastAsiaTheme="minorEastAsia" w:hAnsiTheme="minorHAnsi" w:cstheme="minorBidi"/>
              </w:rPr>
              <w:t>2</w:t>
            </w:r>
          </w:p>
        </w:tc>
        <w:tc>
          <w:tcPr>
            <w:tcW w:w="717" w:type="pct"/>
          </w:tcPr>
          <w:p w14:paraId="7BC3B38E" w14:textId="77777777" w:rsidR="000F721F" w:rsidRDefault="007E5BFD"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246</w:t>
            </w:r>
          </w:p>
        </w:tc>
      </w:tr>
    </w:tbl>
    <w:p w14:paraId="42F181F4" w14:textId="77777777" w:rsidR="0095484F" w:rsidRDefault="0095484F" w:rsidP="004613F9">
      <w:pPr>
        <w:spacing w:before="240"/>
      </w:pPr>
    </w:p>
    <w:p w14:paraId="461347B4" w14:textId="77777777" w:rsidR="00BE0F62" w:rsidRDefault="00BE0F62" w:rsidP="004613F9">
      <w:pPr>
        <w:spacing w:before="240"/>
      </w:pPr>
    </w:p>
    <w:tbl>
      <w:tblPr>
        <w:tblStyle w:val="Lysskygge-farve1"/>
        <w:tblW w:w="5260" w:type="pct"/>
        <w:tblLook w:val="04A0" w:firstRow="1" w:lastRow="0" w:firstColumn="1" w:lastColumn="0" w:noHBand="0" w:noVBand="1"/>
      </w:tblPr>
      <w:tblGrid>
        <w:gridCol w:w="1645"/>
        <w:gridCol w:w="1471"/>
        <w:gridCol w:w="1588"/>
        <w:gridCol w:w="1127"/>
        <w:gridCol w:w="798"/>
        <w:gridCol w:w="1082"/>
        <w:gridCol w:w="726"/>
        <w:gridCol w:w="1344"/>
      </w:tblGrid>
      <w:tr w:rsidR="00847B26" w14:paraId="1EED71AA" w14:textId="77777777" w:rsidTr="00456C7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1" w:type="pct"/>
            <w:noWrap/>
          </w:tcPr>
          <w:p w14:paraId="6CB2AAF7" w14:textId="77777777" w:rsidR="00847B26" w:rsidRPr="00484CBC" w:rsidRDefault="00847B26" w:rsidP="00BB16F7">
            <w:pPr>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Vest Gr</w:t>
            </w:r>
            <w:r w:rsidR="00BB16F7">
              <w:rPr>
                <w:rFonts w:asciiTheme="minorHAnsi" w:eastAsiaTheme="minorEastAsia" w:hAnsiTheme="minorHAnsi" w:cstheme="minorBidi"/>
                <w:color w:val="auto"/>
                <w:szCs w:val="22"/>
              </w:rPr>
              <w:t>ø</w:t>
            </w:r>
            <w:r>
              <w:rPr>
                <w:rFonts w:asciiTheme="minorHAnsi" w:eastAsiaTheme="minorEastAsia" w:hAnsiTheme="minorHAnsi" w:cstheme="minorBidi"/>
                <w:color w:val="auto"/>
                <w:szCs w:val="22"/>
              </w:rPr>
              <w:t>nland</w:t>
            </w:r>
          </w:p>
        </w:tc>
        <w:tc>
          <w:tcPr>
            <w:tcW w:w="752" w:type="pct"/>
          </w:tcPr>
          <w:p w14:paraId="1D55B91F"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Rapporteret</w:t>
            </w:r>
          </w:p>
          <w:p w14:paraId="7CABA99B"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812" w:type="pct"/>
          </w:tcPr>
          <w:p w14:paraId="6096AD39"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Urapporteret</w:t>
            </w:r>
          </w:p>
          <w:p w14:paraId="0F803EC0"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576" w:type="pct"/>
          </w:tcPr>
          <w:p w14:paraId="45F3F376"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Canadisk</w:t>
            </w:r>
          </w:p>
          <w:p w14:paraId="3ACFDA0C"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408" w:type="pct"/>
          </w:tcPr>
          <w:p w14:paraId="52ECD294"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15</w:t>
            </w:r>
            <w:r w:rsidR="00152B25">
              <w:rPr>
                <w:rFonts w:asciiTheme="minorHAnsi" w:eastAsiaTheme="minorEastAsia" w:hAnsiTheme="minorHAnsi" w:cstheme="minorBidi"/>
                <w:b w:val="0"/>
                <w:color w:val="auto"/>
                <w:szCs w:val="22"/>
              </w:rPr>
              <w:t xml:space="preserve"> </w:t>
            </w:r>
            <w:r w:rsidRPr="00D07419">
              <w:rPr>
                <w:rFonts w:asciiTheme="minorHAnsi" w:eastAsiaTheme="minorEastAsia" w:hAnsiTheme="minorHAnsi" w:cstheme="minorBidi"/>
                <w:b w:val="0"/>
                <w:color w:val="auto"/>
                <w:szCs w:val="22"/>
              </w:rPr>
              <w:t>%</w:t>
            </w:r>
          </w:p>
          <w:p w14:paraId="625757E6"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tab</w:t>
            </w:r>
          </w:p>
        </w:tc>
        <w:tc>
          <w:tcPr>
            <w:tcW w:w="553" w:type="pct"/>
          </w:tcPr>
          <w:p w14:paraId="4BD3EE1E"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Anden</w:t>
            </w:r>
          </w:p>
          <w:p w14:paraId="1C62CD64" w14:textId="77777777" w:rsidR="00847B26" w:rsidRPr="00D07419" w:rsidRDefault="00EA02BF"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w:t>
            </w:r>
            <w:r w:rsidR="00847B26" w:rsidRPr="00D07419">
              <w:rPr>
                <w:rFonts w:asciiTheme="minorHAnsi" w:eastAsiaTheme="minorEastAsia" w:hAnsiTheme="minorHAnsi" w:cstheme="minorBidi"/>
                <w:b w:val="0"/>
                <w:color w:val="auto"/>
                <w:szCs w:val="22"/>
              </w:rPr>
              <w:t>flivning</w:t>
            </w:r>
          </w:p>
        </w:tc>
        <w:tc>
          <w:tcPr>
            <w:tcW w:w="371" w:type="pct"/>
          </w:tcPr>
          <w:p w14:paraId="156E3CAA"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4119F63D"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Total</w:t>
            </w:r>
          </w:p>
        </w:tc>
        <w:tc>
          <w:tcPr>
            <w:tcW w:w="688" w:type="pct"/>
          </w:tcPr>
          <w:p w14:paraId="1C0849A5"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04FDFD5C" w14:textId="77777777" w:rsidR="00847B26" w:rsidRPr="00D07419" w:rsidRDefault="00847B26"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Rådgivning</w:t>
            </w:r>
          </w:p>
        </w:tc>
      </w:tr>
      <w:tr w:rsidR="00847B26" w14:paraId="3DB80C9F" w14:textId="77777777" w:rsidTr="00456C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1" w:type="pct"/>
            <w:noWrap/>
          </w:tcPr>
          <w:p w14:paraId="162E45ED" w14:textId="77777777" w:rsidR="00847B26" w:rsidRPr="00D07419" w:rsidRDefault="00847B26"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087A9F">
              <w:rPr>
                <w:rFonts w:asciiTheme="minorHAnsi" w:eastAsiaTheme="minorEastAsia" w:hAnsiTheme="minorHAnsi" w:cstheme="minorBidi"/>
                <w:b w:val="0"/>
                <w:color w:val="auto"/>
              </w:rPr>
              <w:t>4</w:t>
            </w:r>
          </w:p>
        </w:tc>
        <w:tc>
          <w:tcPr>
            <w:tcW w:w="752" w:type="pct"/>
          </w:tcPr>
          <w:p w14:paraId="083D4D4C" w14:textId="77777777" w:rsidR="00847B26" w:rsidRDefault="00087A9F"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52</w:t>
            </w:r>
          </w:p>
        </w:tc>
        <w:tc>
          <w:tcPr>
            <w:tcW w:w="812" w:type="pct"/>
          </w:tcPr>
          <w:p w14:paraId="32CB18EE" w14:textId="77777777" w:rsidR="00847B26" w:rsidRDefault="006C49AF"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r w:rsidR="00BE0F62">
              <w:rPr>
                <w:rFonts w:asciiTheme="minorHAnsi" w:eastAsiaTheme="minorEastAsia" w:hAnsiTheme="minorHAnsi" w:cstheme="minorBidi"/>
                <w:color w:val="auto"/>
              </w:rPr>
              <w:t>#</w:t>
            </w:r>
          </w:p>
        </w:tc>
        <w:tc>
          <w:tcPr>
            <w:tcW w:w="576" w:type="pct"/>
          </w:tcPr>
          <w:p w14:paraId="34881E68" w14:textId="77777777" w:rsidR="00847B26"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16</w:t>
            </w:r>
          </w:p>
        </w:tc>
        <w:tc>
          <w:tcPr>
            <w:tcW w:w="408" w:type="pct"/>
          </w:tcPr>
          <w:p w14:paraId="65033B3E" w14:textId="77777777" w:rsidR="00847B26" w:rsidRDefault="00087A9F"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w:t>
            </w:r>
          </w:p>
        </w:tc>
        <w:tc>
          <w:tcPr>
            <w:tcW w:w="553" w:type="pct"/>
          </w:tcPr>
          <w:p w14:paraId="4804B3F5" w14:textId="77777777" w:rsidR="00847B26"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371" w:type="pct"/>
          </w:tcPr>
          <w:p w14:paraId="77789032" w14:textId="77777777" w:rsidR="00847B26" w:rsidRDefault="002659D3"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7</w:t>
            </w:r>
            <w:r w:rsidR="00456C72">
              <w:rPr>
                <w:rFonts w:asciiTheme="minorHAnsi" w:eastAsiaTheme="minorEastAsia" w:hAnsiTheme="minorHAnsi" w:cstheme="minorBidi"/>
              </w:rPr>
              <w:t>9</w:t>
            </w:r>
          </w:p>
        </w:tc>
        <w:tc>
          <w:tcPr>
            <w:tcW w:w="688" w:type="pct"/>
          </w:tcPr>
          <w:p w14:paraId="6740D854" w14:textId="77777777" w:rsidR="00847B26" w:rsidRDefault="001E6B8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89</w:t>
            </w:r>
          </w:p>
        </w:tc>
      </w:tr>
      <w:tr w:rsidR="00847B26" w14:paraId="3FDED119" w14:textId="77777777" w:rsidTr="00456C72">
        <w:trPr>
          <w:trHeight w:val="315"/>
        </w:trPr>
        <w:tc>
          <w:tcPr>
            <w:cnfStyle w:val="001000000000" w:firstRow="0" w:lastRow="0" w:firstColumn="1" w:lastColumn="0" w:oddVBand="0" w:evenVBand="0" w:oddHBand="0" w:evenHBand="0" w:firstRowFirstColumn="0" w:firstRowLastColumn="0" w:lastRowFirstColumn="0" w:lastRowLastColumn="0"/>
            <w:tcW w:w="841" w:type="pct"/>
            <w:noWrap/>
          </w:tcPr>
          <w:p w14:paraId="58C8FE23" w14:textId="77777777" w:rsidR="00847B26" w:rsidRPr="00D07419" w:rsidRDefault="00847B26"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087A9F">
              <w:rPr>
                <w:rFonts w:asciiTheme="minorHAnsi" w:eastAsiaTheme="minorEastAsia" w:hAnsiTheme="minorHAnsi" w:cstheme="minorBidi"/>
                <w:b w:val="0"/>
                <w:color w:val="auto"/>
              </w:rPr>
              <w:t>5</w:t>
            </w:r>
          </w:p>
        </w:tc>
        <w:tc>
          <w:tcPr>
            <w:tcW w:w="752" w:type="pct"/>
          </w:tcPr>
          <w:p w14:paraId="31CA5E68" w14:textId="77777777" w:rsidR="00847B26" w:rsidRDefault="00983F4B"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w:t>
            </w:r>
            <w:r w:rsidR="00087A9F">
              <w:rPr>
                <w:rFonts w:asciiTheme="minorHAnsi" w:eastAsiaTheme="minorEastAsia" w:hAnsiTheme="minorHAnsi" w:cstheme="minorBidi"/>
                <w:color w:val="auto"/>
              </w:rPr>
              <w:t>3</w:t>
            </w:r>
          </w:p>
        </w:tc>
        <w:tc>
          <w:tcPr>
            <w:tcW w:w="812" w:type="pct"/>
          </w:tcPr>
          <w:p w14:paraId="3B947F84" w14:textId="77777777" w:rsidR="00847B26" w:rsidRDefault="00F1475B"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576" w:type="pct"/>
          </w:tcPr>
          <w:p w14:paraId="4AECCC96" w14:textId="77777777" w:rsidR="00847B26" w:rsidRDefault="00983F4B"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16</w:t>
            </w:r>
          </w:p>
        </w:tc>
        <w:tc>
          <w:tcPr>
            <w:tcW w:w="408" w:type="pct"/>
          </w:tcPr>
          <w:p w14:paraId="797163F7" w14:textId="77777777" w:rsidR="00847B26" w:rsidRDefault="00F1475B" w:rsidP="001A23D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r w:rsidR="001A23D8">
              <w:rPr>
                <w:rFonts w:asciiTheme="minorHAnsi" w:eastAsiaTheme="minorEastAsia" w:hAnsiTheme="minorHAnsi" w:cstheme="minorBidi"/>
                <w:color w:val="auto"/>
              </w:rPr>
              <w:t>0</w:t>
            </w:r>
          </w:p>
        </w:tc>
        <w:tc>
          <w:tcPr>
            <w:tcW w:w="553" w:type="pct"/>
          </w:tcPr>
          <w:p w14:paraId="0E14F3E5" w14:textId="77777777" w:rsidR="00847B26" w:rsidRDefault="00F1475B"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371" w:type="pct"/>
          </w:tcPr>
          <w:p w14:paraId="54DD40BA" w14:textId="77777777" w:rsidR="00847B26" w:rsidRDefault="002659D3"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7</w:t>
            </w:r>
            <w:r w:rsidR="00087A9F">
              <w:rPr>
                <w:rFonts w:asciiTheme="minorHAnsi" w:eastAsiaTheme="minorEastAsia" w:hAnsiTheme="minorHAnsi" w:cstheme="minorBidi"/>
              </w:rPr>
              <w:t>9</w:t>
            </w:r>
          </w:p>
        </w:tc>
        <w:tc>
          <w:tcPr>
            <w:tcW w:w="688" w:type="pct"/>
          </w:tcPr>
          <w:p w14:paraId="470903AD" w14:textId="77777777" w:rsidR="00847B26" w:rsidRDefault="00087A9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100</w:t>
            </w:r>
          </w:p>
        </w:tc>
      </w:tr>
      <w:tr w:rsidR="00847B26" w14:paraId="5E24FADE" w14:textId="77777777" w:rsidTr="00456C7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1" w:type="pct"/>
            <w:noWrap/>
          </w:tcPr>
          <w:p w14:paraId="62089056" w14:textId="77777777" w:rsidR="00847B26" w:rsidRPr="00D07419" w:rsidRDefault="00847B26"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087A9F">
              <w:rPr>
                <w:rFonts w:asciiTheme="minorHAnsi" w:eastAsiaTheme="minorEastAsia" w:hAnsiTheme="minorHAnsi" w:cstheme="minorBidi"/>
                <w:b w:val="0"/>
                <w:color w:val="auto"/>
              </w:rPr>
              <w:t>6</w:t>
            </w:r>
          </w:p>
        </w:tc>
        <w:tc>
          <w:tcPr>
            <w:tcW w:w="752" w:type="pct"/>
          </w:tcPr>
          <w:p w14:paraId="7D960E6D" w14:textId="77777777" w:rsidR="00847B26" w:rsidRDefault="00EA2E2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52</w:t>
            </w:r>
          </w:p>
        </w:tc>
        <w:tc>
          <w:tcPr>
            <w:tcW w:w="812" w:type="pct"/>
          </w:tcPr>
          <w:p w14:paraId="00B46DFA" w14:textId="77777777" w:rsidR="00847B26" w:rsidRDefault="00EA2E2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r w:rsidR="00BE0F62">
              <w:rPr>
                <w:rFonts w:asciiTheme="minorHAnsi" w:eastAsiaTheme="minorEastAsia" w:hAnsiTheme="minorHAnsi" w:cstheme="minorBidi"/>
                <w:color w:val="auto"/>
              </w:rPr>
              <w:t>#</w:t>
            </w:r>
          </w:p>
        </w:tc>
        <w:tc>
          <w:tcPr>
            <w:tcW w:w="576" w:type="pct"/>
          </w:tcPr>
          <w:p w14:paraId="24EBC565" w14:textId="77777777" w:rsidR="00847B26" w:rsidRDefault="00EA2E2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16</w:t>
            </w:r>
          </w:p>
        </w:tc>
        <w:tc>
          <w:tcPr>
            <w:tcW w:w="408" w:type="pct"/>
          </w:tcPr>
          <w:p w14:paraId="040088AA" w14:textId="77777777" w:rsidR="00847B26" w:rsidRDefault="00EA2E29" w:rsidP="001A23D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10</w:t>
            </w:r>
          </w:p>
        </w:tc>
        <w:tc>
          <w:tcPr>
            <w:tcW w:w="553" w:type="pct"/>
          </w:tcPr>
          <w:p w14:paraId="23879FFD" w14:textId="77777777" w:rsidR="00847B26"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371" w:type="pct"/>
          </w:tcPr>
          <w:p w14:paraId="25116DEA" w14:textId="77777777" w:rsidR="00847B26" w:rsidRDefault="00EA2E2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79</w:t>
            </w:r>
          </w:p>
        </w:tc>
        <w:tc>
          <w:tcPr>
            <w:tcW w:w="688" w:type="pct"/>
          </w:tcPr>
          <w:p w14:paraId="28B2604C" w14:textId="77777777" w:rsidR="00847B26" w:rsidRDefault="00EA02BF"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100</w:t>
            </w:r>
          </w:p>
        </w:tc>
      </w:tr>
      <w:tr w:rsidR="000F721F" w14:paraId="25B5B6E4" w14:textId="77777777" w:rsidTr="00456C72">
        <w:trPr>
          <w:trHeight w:val="315"/>
        </w:trPr>
        <w:tc>
          <w:tcPr>
            <w:cnfStyle w:val="001000000000" w:firstRow="0" w:lastRow="0" w:firstColumn="1" w:lastColumn="0" w:oddVBand="0" w:evenVBand="0" w:oddHBand="0" w:evenHBand="0" w:firstRowFirstColumn="0" w:firstRowLastColumn="0" w:lastRowFirstColumn="0" w:lastRowLastColumn="0"/>
            <w:tcW w:w="841" w:type="pct"/>
            <w:noWrap/>
          </w:tcPr>
          <w:p w14:paraId="4BB90222" w14:textId="77777777" w:rsidR="000F721F" w:rsidRPr="000F721F" w:rsidRDefault="000F721F" w:rsidP="00066B5D">
            <w:pPr>
              <w:rPr>
                <w:rFonts w:asciiTheme="minorHAnsi" w:eastAsiaTheme="minorEastAsia" w:hAnsiTheme="minorHAnsi" w:cstheme="minorBidi"/>
                <w:b w:val="0"/>
              </w:rPr>
            </w:pPr>
            <w:r>
              <w:rPr>
                <w:rFonts w:asciiTheme="minorHAnsi" w:eastAsiaTheme="minorEastAsia" w:hAnsiTheme="minorHAnsi" w:cstheme="minorBidi"/>
                <w:b w:val="0"/>
              </w:rPr>
              <w:t>i alt</w:t>
            </w:r>
          </w:p>
        </w:tc>
        <w:tc>
          <w:tcPr>
            <w:tcW w:w="752" w:type="pct"/>
          </w:tcPr>
          <w:p w14:paraId="1393AEAB" w14:textId="77777777" w:rsidR="000F721F" w:rsidRDefault="00EA02B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157</w:t>
            </w:r>
          </w:p>
        </w:tc>
        <w:tc>
          <w:tcPr>
            <w:tcW w:w="812" w:type="pct"/>
          </w:tcPr>
          <w:p w14:paraId="23A08135" w14:textId="77777777" w:rsidR="000F721F" w:rsidRDefault="007A09F8"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w:t>
            </w:r>
          </w:p>
        </w:tc>
        <w:tc>
          <w:tcPr>
            <w:tcW w:w="576" w:type="pct"/>
          </w:tcPr>
          <w:p w14:paraId="5F8992BD" w14:textId="77777777" w:rsidR="000F721F" w:rsidRDefault="007A09F8"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48</w:t>
            </w:r>
          </w:p>
        </w:tc>
        <w:tc>
          <w:tcPr>
            <w:tcW w:w="408" w:type="pct"/>
          </w:tcPr>
          <w:p w14:paraId="3BCF3740" w14:textId="77777777" w:rsidR="000F721F" w:rsidRDefault="007A09F8" w:rsidP="001A23D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30</w:t>
            </w:r>
          </w:p>
        </w:tc>
        <w:tc>
          <w:tcPr>
            <w:tcW w:w="553" w:type="pct"/>
          </w:tcPr>
          <w:p w14:paraId="17875CE2" w14:textId="77777777" w:rsidR="000F721F" w:rsidRDefault="000F721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371" w:type="pct"/>
          </w:tcPr>
          <w:p w14:paraId="3F02FA48" w14:textId="77777777" w:rsidR="000F721F" w:rsidRDefault="007A09F8"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237</w:t>
            </w:r>
          </w:p>
        </w:tc>
        <w:tc>
          <w:tcPr>
            <w:tcW w:w="688" w:type="pct"/>
          </w:tcPr>
          <w:p w14:paraId="70486E20" w14:textId="77777777" w:rsidR="000F721F" w:rsidRDefault="007A09F8"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289</w:t>
            </w:r>
          </w:p>
        </w:tc>
      </w:tr>
    </w:tbl>
    <w:p w14:paraId="473606A5" w14:textId="77777777" w:rsidR="00CD4DD4" w:rsidRDefault="00CD4DD4" w:rsidP="004613F9">
      <w:pPr>
        <w:spacing w:before="240"/>
      </w:pPr>
    </w:p>
    <w:p w14:paraId="7EA9BC28" w14:textId="77777777" w:rsidR="00BE0F62" w:rsidRDefault="00BE0F62" w:rsidP="004613F9">
      <w:pPr>
        <w:spacing w:before="240"/>
      </w:pPr>
    </w:p>
    <w:tbl>
      <w:tblPr>
        <w:tblStyle w:val="Lysskygge-farve1"/>
        <w:tblW w:w="4646" w:type="pct"/>
        <w:tblLook w:val="04A0" w:firstRow="1" w:lastRow="0" w:firstColumn="1" w:lastColumn="0" w:noHBand="0" w:noVBand="1"/>
      </w:tblPr>
      <w:tblGrid>
        <w:gridCol w:w="1568"/>
        <w:gridCol w:w="1484"/>
        <w:gridCol w:w="1600"/>
        <w:gridCol w:w="807"/>
        <w:gridCol w:w="1094"/>
        <w:gridCol w:w="734"/>
        <w:gridCol w:w="1353"/>
      </w:tblGrid>
      <w:tr w:rsidR="00EC71B7" w14:paraId="26929CD6" w14:textId="77777777" w:rsidTr="00EC71B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 w:type="pct"/>
            <w:noWrap/>
          </w:tcPr>
          <w:p w14:paraId="50A45107" w14:textId="77777777" w:rsidR="00EC71B7" w:rsidRPr="00484CBC" w:rsidRDefault="00BB16F7" w:rsidP="00BB16F7">
            <w:pPr>
              <w:rPr>
                <w:rFonts w:asciiTheme="minorHAnsi" w:eastAsiaTheme="minorEastAsia" w:hAnsiTheme="minorHAnsi" w:cstheme="minorBidi"/>
                <w:color w:val="auto"/>
                <w:szCs w:val="22"/>
              </w:rPr>
            </w:pPr>
            <w:r>
              <w:rPr>
                <w:rFonts w:asciiTheme="minorHAnsi" w:eastAsiaTheme="minorEastAsia" w:hAnsiTheme="minorHAnsi" w:cstheme="minorBidi"/>
                <w:color w:val="auto"/>
                <w:szCs w:val="22"/>
              </w:rPr>
              <w:t>Øst</w:t>
            </w:r>
            <w:r w:rsidR="00EC71B7">
              <w:rPr>
                <w:rFonts w:asciiTheme="minorHAnsi" w:eastAsiaTheme="minorEastAsia" w:hAnsiTheme="minorHAnsi" w:cstheme="minorBidi"/>
                <w:color w:val="auto"/>
                <w:szCs w:val="22"/>
              </w:rPr>
              <w:t xml:space="preserve"> Gr</w:t>
            </w:r>
            <w:r>
              <w:rPr>
                <w:rFonts w:asciiTheme="minorHAnsi" w:eastAsiaTheme="minorEastAsia" w:hAnsiTheme="minorHAnsi" w:cstheme="minorBidi"/>
                <w:color w:val="auto"/>
                <w:szCs w:val="22"/>
              </w:rPr>
              <w:t>ø</w:t>
            </w:r>
            <w:r w:rsidR="00EC71B7">
              <w:rPr>
                <w:rFonts w:asciiTheme="minorHAnsi" w:eastAsiaTheme="minorEastAsia" w:hAnsiTheme="minorHAnsi" w:cstheme="minorBidi"/>
                <w:color w:val="auto"/>
                <w:szCs w:val="22"/>
              </w:rPr>
              <w:t>nland</w:t>
            </w:r>
          </w:p>
        </w:tc>
        <w:tc>
          <w:tcPr>
            <w:tcW w:w="859" w:type="pct"/>
          </w:tcPr>
          <w:p w14:paraId="4AC5552E"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Rapporteret</w:t>
            </w:r>
          </w:p>
          <w:p w14:paraId="0F61A52C"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926" w:type="pct"/>
          </w:tcPr>
          <w:p w14:paraId="300A4C32"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Urapporteret</w:t>
            </w:r>
          </w:p>
          <w:p w14:paraId="1619F162"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fangst</w:t>
            </w:r>
          </w:p>
        </w:tc>
        <w:tc>
          <w:tcPr>
            <w:tcW w:w="467" w:type="pct"/>
          </w:tcPr>
          <w:p w14:paraId="7C4E008F"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1</w:t>
            </w:r>
            <w:r w:rsidR="00EF452B">
              <w:rPr>
                <w:rFonts w:asciiTheme="minorHAnsi" w:eastAsiaTheme="minorEastAsia" w:hAnsiTheme="minorHAnsi" w:cstheme="minorBidi"/>
                <w:b w:val="0"/>
                <w:color w:val="auto"/>
                <w:szCs w:val="22"/>
              </w:rPr>
              <w:t>1.</w:t>
            </w:r>
            <w:r w:rsidRPr="00D07419">
              <w:rPr>
                <w:rFonts w:asciiTheme="minorHAnsi" w:eastAsiaTheme="minorEastAsia" w:hAnsiTheme="minorHAnsi" w:cstheme="minorBidi"/>
                <w:b w:val="0"/>
                <w:color w:val="auto"/>
                <w:szCs w:val="22"/>
              </w:rPr>
              <w:t>5</w:t>
            </w:r>
            <w:r w:rsidR="00152B25">
              <w:rPr>
                <w:rFonts w:asciiTheme="minorHAnsi" w:eastAsiaTheme="minorEastAsia" w:hAnsiTheme="minorHAnsi" w:cstheme="minorBidi"/>
                <w:b w:val="0"/>
                <w:color w:val="auto"/>
                <w:szCs w:val="22"/>
              </w:rPr>
              <w:t xml:space="preserve"> </w:t>
            </w:r>
            <w:r w:rsidRPr="00D07419">
              <w:rPr>
                <w:rFonts w:asciiTheme="minorHAnsi" w:eastAsiaTheme="minorEastAsia" w:hAnsiTheme="minorHAnsi" w:cstheme="minorBidi"/>
                <w:b w:val="0"/>
                <w:color w:val="auto"/>
                <w:szCs w:val="22"/>
              </w:rPr>
              <w:t>%</w:t>
            </w:r>
          </w:p>
          <w:p w14:paraId="5778647C"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tab</w:t>
            </w:r>
          </w:p>
        </w:tc>
        <w:tc>
          <w:tcPr>
            <w:tcW w:w="633" w:type="pct"/>
          </w:tcPr>
          <w:p w14:paraId="40B3D0AC"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Anden</w:t>
            </w:r>
          </w:p>
          <w:p w14:paraId="4D593857"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D07419">
              <w:rPr>
                <w:rFonts w:asciiTheme="minorHAnsi" w:eastAsiaTheme="minorEastAsia" w:hAnsiTheme="minorHAnsi" w:cstheme="minorBidi"/>
                <w:b w:val="0"/>
                <w:color w:val="auto"/>
                <w:szCs w:val="22"/>
              </w:rPr>
              <w:t>aflivning</w:t>
            </w:r>
          </w:p>
        </w:tc>
        <w:tc>
          <w:tcPr>
            <w:tcW w:w="425" w:type="pct"/>
          </w:tcPr>
          <w:p w14:paraId="72D343FC"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2DE40758"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Total</w:t>
            </w:r>
          </w:p>
        </w:tc>
        <w:tc>
          <w:tcPr>
            <w:tcW w:w="783" w:type="pct"/>
          </w:tcPr>
          <w:p w14:paraId="1FFA8AEB"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69B02BF1" w14:textId="77777777" w:rsidR="00EC71B7" w:rsidRPr="00D07419"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D07419">
              <w:rPr>
                <w:rFonts w:asciiTheme="minorHAnsi" w:eastAsiaTheme="minorEastAsia" w:hAnsiTheme="minorHAnsi" w:cstheme="minorBidi"/>
                <w:szCs w:val="22"/>
              </w:rPr>
              <w:t>Rådgivning</w:t>
            </w:r>
          </w:p>
        </w:tc>
      </w:tr>
      <w:tr w:rsidR="00EC71B7" w14:paraId="7318EBED" w14:textId="77777777" w:rsidTr="00EC71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 w:type="pct"/>
            <w:noWrap/>
          </w:tcPr>
          <w:p w14:paraId="619780E0" w14:textId="77777777" w:rsidR="00EC71B7" w:rsidRPr="00D07419" w:rsidRDefault="00EC71B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087A9F">
              <w:rPr>
                <w:rFonts w:asciiTheme="minorHAnsi" w:eastAsiaTheme="minorEastAsia" w:hAnsiTheme="minorHAnsi" w:cstheme="minorBidi"/>
                <w:b w:val="0"/>
                <w:color w:val="auto"/>
              </w:rPr>
              <w:t>4</w:t>
            </w:r>
          </w:p>
        </w:tc>
        <w:tc>
          <w:tcPr>
            <w:tcW w:w="859" w:type="pct"/>
          </w:tcPr>
          <w:p w14:paraId="0C3807FD" w14:textId="77777777" w:rsidR="00EC71B7"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8</w:t>
            </w:r>
          </w:p>
        </w:tc>
        <w:tc>
          <w:tcPr>
            <w:tcW w:w="926" w:type="pct"/>
          </w:tcPr>
          <w:p w14:paraId="5C973CFD" w14:textId="77777777" w:rsidR="00EC71B7" w:rsidRDefault="00087A9F"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r w:rsidR="00BE0F62">
              <w:rPr>
                <w:rFonts w:asciiTheme="minorHAnsi" w:eastAsiaTheme="minorEastAsia" w:hAnsiTheme="minorHAnsi" w:cstheme="minorBidi"/>
                <w:color w:val="auto"/>
              </w:rPr>
              <w:t>#</w:t>
            </w:r>
          </w:p>
        </w:tc>
        <w:tc>
          <w:tcPr>
            <w:tcW w:w="467" w:type="pct"/>
          </w:tcPr>
          <w:p w14:paraId="310BAC13" w14:textId="77777777" w:rsidR="00EC71B7" w:rsidRDefault="001A23D8"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633" w:type="pct"/>
          </w:tcPr>
          <w:p w14:paraId="27D5198A" w14:textId="77777777" w:rsidR="00EC71B7"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25" w:type="pct"/>
          </w:tcPr>
          <w:p w14:paraId="3541854C" w14:textId="77777777" w:rsidR="00EC71B7" w:rsidRDefault="00087A9F"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12</w:t>
            </w:r>
          </w:p>
        </w:tc>
        <w:tc>
          <w:tcPr>
            <w:tcW w:w="783" w:type="pct"/>
          </w:tcPr>
          <w:p w14:paraId="2DA376FF" w14:textId="77777777" w:rsidR="00EC71B7" w:rsidRDefault="001E6B8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20</w:t>
            </w:r>
          </w:p>
        </w:tc>
      </w:tr>
      <w:tr w:rsidR="00EC71B7" w14:paraId="4C032A2D" w14:textId="77777777" w:rsidTr="00EC71B7">
        <w:trPr>
          <w:trHeight w:val="315"/>
        </w:trPr>
        <w:tc>
          <w:tcPr>
            <w:cnfStyle w:val="001000000000" w:firstRow="0" w:lastRow="0" w:firstColumn="1" w:lastColumn="0" w:oddVBand="0" w:evenVBand="0" w:oddHBand="0" w:evenHBand="0" w:firstRowFirstColumn="0" w:firstRowLastColumn="0" w:lastRowFirstColumn="0" w:lastRowLastColumn="0"/>
            <w:tcW w:w="907" w:type="pct"/>
            <w:noWrap/>
          </w:tcPr>
          <w:p w14:paraId="1E1FD464" w14:textId="77777777" w:rsidR="00EC71B7" w:rsidRPr="00D07419" w:rsidRDefault="00EC71B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087A9F">
              <w:rPr>
                <w:rFonts w:asciiTheme="minorHAnsi" w:eastAsiaTheme="minorEastAsia" w:hAnsiTheme="minorHAnsi" w:cstheme="minorBidi"/>
                <w:b w:val="0"/>
                <w:color w:val="auto"/>
              </w:rPr>
              <w:t>5</w:t>
            </w:r>
          </w:p>
        </w:tc>
        <w:tc>
          <w:tcPr>
            <w:tcW w:w="859" w:type="pct"/>
          </w:tcPr>
          <w:p w14:paraId="4623CC61" w14:textId="77777777" w:rsidR="00EC71B7" w:rsidRDefault="00087A9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926" w:type="pct"/>
          </w:tcPr>
          <w:p w14:paraId="66648D16" w14:textId="77777777" w:rsidR="00EC71B7" w:rsidRDefault="00087A9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67" w:type="pct"/>
          </w:tcPr>
          <w:p w14:paraId="3A857BC1" w14:textId="77777777" w:rsidR="00EC71B7" w:rsidRDefault="00087A9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33" w:type="pct"/>
          </w:tcPr>
          <w:p w14:paraId="2DE97122" w14:textId="77777777" w:rsidR="00EC71B7" w:rsidRDefault="000F721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25" w:type="pct"/>
          </w:tcPr>
          <w:p w14:paraId="6FA5ECE8" w14:textId="77777777" w:rsidR="00EC71B7" w:rsidRDefault="00087A9F"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4</w:t>
            </w:r>
          </w:p>
        </w:tc>
        <w:tc>
          <w:tcPr>
            <w:tcW w:w="783" w:type="pct"/>
          </w:tcPr>
          <w:p w14:paraId="4B7E6C07" w14:textId="77777777" w:rsidR="00EC71B7" w:rsidRDefault="007A0264"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20</w:t>
            </w:r>
          </w:p>
        </w:tc>
      </w:tr>
      <w:tr w:rsidR="00EC71B7" w14:paraId="18D56F09" w14:textId="77777777" w:rsidTr="00EC71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 w:type="pct"/>
            <w:noWrap/>
          </w:tcPr>
          <w:p w14:paraId="3075CDD3" w14:textId="77777777" w:rsidR="00EC71B7" w:rsidRPr="00D07419" w:rsidRDefault="00EC71B7" w:rsidP="00066B5D">
            <w:pPr>
              <w:rPr>
                <w:rFonts w:asciiTheme="minorHAnsi" w:eastAsiaTheme="minorEastAsia" w:hAnsiTheme="minorHAnsi" w:cstheme="minorBidi"/>
                <w:b w:val="0"/>
                <w:color w:val="auto"/>
              </w:rPr>
            </w:pPr>
            <w:r w:rsidRPr="00D07419">
              <w:rPr>
                <w:rFonts w:asciiTheme="minorHAnsi" w:eastAsiaTheme="minorEastAsia" w:hAnsiTheme="minorHAnsi" w:cstheme="minorBidi"/>
                <w:b w:val="0"/>
                <w:color w:val="auto"/>
              </w:rPr>
              <w:t>201</w:t>
            </w:r>
            <w:r w:rsidR="00087A9F">
              <w:rPr>
                <w:rFonts w:asciiTheme="minorHAnsi" w:eastAsiaTheme="minorEastAsia" w:hAnsiTheme="minorHAnsi" w:cstheme="minorBidi"/>
                <w:b w:val="0"/>
                <w:color w:val="auto"/>
              </w:rPr>
              <w:t>6</w:t>
            </w:r>
          </w:p>
        </w:tc>
        <w:tc>
          <w:tcPr>
            <w:tcW w:w="859" w:type="pct"/>
          </w:tcPr>
          <w:p w14:paraId="3265EA73" w14:textId="77777777" w:rsidR="00EC71B7" w:rsidRDefault="00EA2E2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9</w:t>
            </w:r>
          </w:p>
        </w:tc>
        <w:tc>
          <w:tcPr>
            <w:tcW w:w="926" w:type="pct"/>
          </w:tcPr>
          <w:p w14:paraId="0AE00C9B" w14:textId="77777777" w:rsidR="00EC71B7" w:rsidRDefault="00EA2E2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r w:rsidR="00BE0F62">
              <w:rPr>
                <w:rFonts w:asciiTheme="minorHAnsi" w:eastAsiaTheme="minorEastAsia" w:hAnsiTheme="minorHAnsi" w:cstheme="minorBidi"/>
                <w:color w:val="auto"/>
              </w:rPr>
              <w:t>#</w:t>
            </w:r>
          </w:p>
        </w:tc>
        <w:tc>
          <w:tcPr>
            <w:tcW w:w="467" w:type="pct"/>
          </w:tcPr>
          <w:p w14:paraId="50504D15" w14:textId="77777777" w:rsidR="00EC71B7" w:rsidRDefault="00EA2E2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633" w:type="pct"/>
          </w:tcPr>
          <w:p w14:paraId="33A9F001" w14:textId="77777777" w:rsidR="00EC71B7"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25" w:type="pct"/>
          </w:tcPr>
          <w:p w14:paraId="196913E2" w14:textId="77777777" w:rsidR="00EC71B7" w:rsidRDefault="00EA2E2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11</w:t>
            </w:r>
          </w:p>
        </w:tc>
        <w:tc>
          <w:tcPr>
            <w:tcW w:w="783" w:type="pct"/>
          </w:tcPr>
          <w:p w14:paraId="6F2C7D72" w14:textId="77777777" w:rsidR="00EC71B7" w:rsidRDefault="007A09F8"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20</w:t>
            </w:r>
          </w:p>
        </w:tc>
      </w:tr>
      <w:tr w:rsidR="000F721F" w14:paraId="55A7ACC4" w14:textId="77777777" w:rsidTr="00EC71B7">
        <w:trPr>
          <w:trHeight w:val="315"/>
        </w:trPr>
        <w:tc>
          <w:tcPr>
            <w:cnfStyle w:val="001000000000" w:firstRow="0" w:lastRow="0" w:firstColumn="1" w:lastColumn="0" w:oddVBand="0" w:evenVBand="0" w:oddHBand="0" w:evenHBand="0" w:firstRowFirstColumn="0" w:firstRowLastColumn="0" w:lastRowFirstColumn="0" w:lastRowLastColumn="0"/>
            <w:tcW w:w="907" w:type="pct"/>
            <w:noWrap/>
          </w:tcPr>
          <w:p w14:paraId="4F11600B" w14:textId="77777777" w:rsidR="000F721F" w:rsidRPr="000F721F" w:rsidRDefault="000F721F" w:rsidP="00066B5D">
            <w:pPr>
              <w:rPr>
                <w:rFonts w:asciiTheme="minorHAnsi" w:eastAsiaTheme="minorEastAsia" w:hAnsiTheme="minorHAnsi" w:cstheme="minorBidi"/>
                <w:b w:val="0"/>
              </w:rPr>
            </w:pPr>
            <w:r>
              <w:rPr>
                <w:rFonts w:asciiTheme="minorHAnsi" w:eastAsiaTheme="minorEastAsia" w:hAnsiTheme="minorHAnsi" w:cstheme="minorBidi"/>
                <w:b w:val="0"/>
              </w:rPr>
              <w:t>i alt</w:t>
            </w:r>
          </w:p>
        </w:tc>
        <w:tc>
          <w:tcPr>
            <w:tcW w:w="859" w:type="pct"/>
          </w:tcPr>
          <w:p w14:paraId="689E738A" w14:textId="77777777" w:rsidR="000F721F" w:rsidRDefault="007A09F8"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21</w:t>
            </w:r>
          </w:p>
        </w:tc>
        <w:tc>
          <w:tcPr>
            <w:tcW w:w="926" w:type="pct"/>
          </w:tcPr>
          <w:p w14:paraId="21C36467" w14:textId="77777777" w:rsidR="000F721F" w:rsidRDefault="007A09F8"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4</w:t>
            </w:r>
          </w:p>
        </w:tc>
        <w:tc>
          <w:tcPr>
            <w:tcW w:w="467" w:type="pct"/>
          </w:tcPr>
          <w:p w14:paraId="5FEF9324" w14:textId="77777777" w:rsidR="000F721F" w:rsidRDefault="007A09F8"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w:t>
            </w:r>
          </w:p>
        </w:tc>
        <w:tc>
          <w:tcPr>
            <w:tcW w:w="633" w:type="pct"/>
          </w:tcPr>
          <w:p w14:paraId="04ECB01C" w14:textId="77777777" w:rsidR="000F721F" w:rsidRDefault="00666B3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25" w:type="pct"/>
          </w:tcPr>
          <w:p w14:paraId="072CE875" w14:textId="77777777" w:rsidR="000F721F" w:rsidRDefault="007A09F8" w:rsidP="0041631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27</w:t>
            </w:r>
          </w:p>
        </w:tc>
        <w:tc>
          <w:tcPr>
            <w:tcW w:w="783" w:type="pct"/>
          </w:tcPr>
          <w:p w14:paraId="60DE9284" w14:textId="77777777" w:rsidR="000F721F" w:rsidRDefault="007A09F8"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60</w:t>
            </w:r>
          </w:p>
        </w:tc>
      </w:tr>
    </w:tbl>
    <w:p w14:paraId="1C9BBABD" w14:textId="77777777" w:rsidR="00847B26" w:rsidRPr="00F1475B" w:rsidRDefault="00BE0F62" w:rsidP="004613F9">
      <w:pPr>
        <w:spacing w:before="240"/>
        <w:rPr>
          <w:vertAlign w:val="superscript"/>
        </w:rPr>
      </w:pPr>
      <w:r>
        <w:rPr>
          <w:vertAlign w:val="superscript"/>
        </w:rPr>
        <w:t>#</w:t>
      </w:r>
      <w:r w:rsidR="00F1475B">
        <w:rPr>
          <w:vertAlign w:val="superscript"/>
        </w:rPr>
        <w:t>Ulovlige fangster</w:t>
      </w:r>
    </w:p>
    <w:p w14:paraId="1D57AED7" w14:textId="77777777" w:rsidR="00C66DB2" w:rsidRDefault="00C66DB2">
      <w:pPr>
        <w:spacing w:after="200" w:line="276" w:lineRule="auto"/>
      </w:pPr>
      <w:r>
        <w:br w:type="page"/>
      </w:r>
    </w:p>
    <w:p w14:paraId="47DB4133" w14:textId="77777777" w:rsidR="004613F9" w:rsidRDefault="004613F9" w:rsidP="004613F9">
      <w:pPr>
        <w:pStyle w:val="Overskrift1"/>
      </w:pPr>
      <w:r>
        <w:t>Isbjørn</w:t>
      </w:r>
    </w:p>
    <w:p w14:paraId="41612C3A" w14:textId="3041E597" w:rsidR="00581942" w:rsidRDefault="00F658AD" w:rsidP="004613F9">
      <w:pPr>
        <w:spacing w:before="240"/>
      </w:pPr>
      <w:r>
        <w:t>De</w:t>
      </w:r>
      <w:r w:rsidR="003C4BA4">
        <w:t>n</w:t>
      </w:r>
      <w:r>
        <w:t xml:space="preserve"> seneste rådgivning for isbjørn er fra 2010, </w:t>
      </w:r>
      <w:r w:rsidR="003C4BA4">
        <w:t xml:space="preserve">og den er </w:t>
      </w:r>
      <w:r>
        <w:t>baseret på tal fra 1993-97</w:t>
      </w:r>
      <w:r w:rsidR="008251A5">
        <w:t xml:space="preserve"> for </w:t>
      </w:r>
      <w:r w:rsidR="00CD4DD4">
        <w:t>bestandene</w:t>
      </w:r>
      <w:r w:rsidR="008251A5">
        <w:t xml:space="preserve"> i Kane Basin (KB) og Baffin Bugt (BB)</w:t>
      </w:r>
      <w:r>
        <w:t xml:space="preserve">. </w:t>
      </w:r>
      <w:r w:rsidR="003C4BA4">
        <w:t>I 2012 konkluderede The</w:t>
      </w:r>
      <w:r w:rsidR="00204C4C">
        <w:t xml:space="preserve"> </w:t>
      </w:r>
      <w:r>
        <w:t>Canada/Greenland Joint Commission on Polar Bears (JCPB)</w:t>
      </w:r>
      <w:r w:rsidR="00230EEC">
        <w:t>,</w:t>
      </w:r>
      <w:r>
        <w:t xml:space="preserve"> at rådgivning</w:t>
      </w:r>
      <w:r w:rsidR="003C4BA4">
        <w:t>en</w:t>
      </w:r>
      <w:r>
        <w:t xml:space="preserve"> var forældet</w:t>
      </w:r>
      <w:r w:rsidR="00DF62A7">
        <w:t xml:space="preserve">. Ny rådgivning forventes </w:t>
      </w:r>
      <w:r w:rsidR="0036288D">
        <w:t xml:space="preserve">i løbet af </w:t>
      </w:r>
      <w:r w:rsidR="00DF62A7">
        <w:t>sommer</w:t>
      </w:r>
      <w:r w:rsidR="0036288D">
        <w:t>en</w:t>
      </w:r>
      <w:r w:rsidR="00DF62A7">
        <w:t xml:space="preserve"> 2017</w:t>
      </w:r>
      <w:r w:rsidR="008251A5">
        <w:t xml:space="preserve">. </w:t>
      </w:r>
      <w:r w:rsidR="00E13002">
        <w:t>Der findes</w:t>
      </w:r>
      <w:r w:rsidR="000B313D">
        <w:t xml:space="preserve"> heller</w:t>
      </w:r>
      <w:r w:rsidR="00E13002">
        <w:t xml:space="preserve"> ingen rådgivning for bestanden i </w:t>
      </w:r>
      <w:r w:rsidR="008251A5">
        <w:t>Østgrønland</w:t>
      </w:r>
      <w:r w:rsidR="00860011">
        <w:t>.</w:t>
      </w:r>
      <w:r w:rsidR="00C66DB2">
        <w:t xml:space="preserve"> Uden en rådgivning</w:t>
      </w:r>
      <w:r w:rsidR="00561960">
        <w:t>,</w:t>
      </w:r>
      <w:r w:rsidR="00C66DB2">
        <w:t xml:space="preserve"> </w:t>
      </w:r>
      <w:r w:rsidR="00517EE1">
        <w:t xml:space="preserve">kan der ikke afgives en </w:t>
      </w:r>
      <w:r w:rsidR="00C66DB2">
        <w:t>NDF.</w:t>
      </w:r>
    </w:p>
    <w:p w14:paraId="47EA79B9" w14:textId="77777777" w:rsidR="00390E2A" w:rsidRDefault="00390E2A" w:rsidP="004613F9">
      <w:pPr>
        <w:spacing w:before="240"/>
      </w:pPr>
    </w:p>
    <w:tbl>
      <w:tblPr>
        <w:tblStyle w:val="Lysskygge-farve1"/>
        <w:tblW w:w="5258" w:type="pct"/>
        <w:tblLook w:val="04A0" w:firstRow="1" w:lastRow="0" w:firstColumn="1" w:lastColumn="0" w:noHBand="0" w:noVBand="1"/>
      </w:tblPr>
      <w:tblGrid>
        <w:gridCol w:w="1307"/>
        <w:gridCol w:w="1521"/>
        <w:gridCol w:w="1637"/>
        <w:gridCol w:w="1175"/>
        <w:gridCol w:w="845"/>
        <w:gridCol w:w="1130"/>
        <w:gridCol w:w="772"/>
        <w:gridCol w:w="1391"/>
      </w:tblGrid>
      <w:tr w:rsidR="000116AF" w:rsidRPr="002000F6" w14:paraId="133B4996" w14:textId="77777777" w:rsidTr="001B26D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094C8115" w14:textId="77777777" w:rsidR="00746184" w:rsidRPr="002000F6" w:rsidRDefault="00581942" w:rsidP="00066B5D">
            <w:pPr>
              <w:rPr>
                <w:rFonts w:asciiTheme="minorHAnsi" w:eastAsiaTheme="minorEastAsia" w:hAnsiTheme="minorHAnsi" w:cstheme="minorBidi"/>
                <w:color w:val="auto"/>
                <w:szCs w:val="22"/>
              </w:rPr>
            </w:pPr>
            <w:r w:rsidRPr="002000F6">
              <w:rPr>
                <w:rFonts w:asciiTheme="minorHAnsi" w:eastAsiaTheme="minorEastAsia" w:hAnsiTheme="minorHAnsi" w:cstheme="minorBidi"/>
                <w:color w:val="auto"/>
                <w:szCs w:val="22"/>
              </w:rPr>
              <w:t>Kane Basin</w:t>
            </w:r>
          </w:p>
        </w:tc>
        <w:tc>
          <w:tcPr>
            <w:tcW w:w="784" w:type="pct"/>
          </w:tcPr>
          <w:p w14:paraId="5700B20F"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Rapporteret</w:t>
            </w:r>
          </w:p>
          <w:p w14:paraId="50BBC277"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fangst</w:t>
            </w:r>
          </w:p>
        </w:tc>
        <w:tc>
          <w:tcPr>
            <w:tcW w:w="843" w:type="pct"/>
          </w:tcPr>
          <w:p w14:paraId="4E2020FA"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Urapporteret</w:t>
            </w:r>
          </w:p>
          <w:p w14:paraId="419DF72E" w14:textId="77777777" w:rsidR="00746184" w:rsidRPr="002000F6" w:rsidRDefault="00BE0F62"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F</w:t>
            </w:r>
            <w:r w:rsidR="00746184" w:rsidRPr="002000F6">
              <w:rPr>
                <w:rFonts w:asciiTheme="minorHAnsi" w:eastAsiaTheme="minorEastAsia" w:hAnsiTheme="minorHAnsi" w:cstheme="minorBidi"/>
                <w:b w:val="0"/>
                <w:color w:val="auto"/>
                <w:szCs w:val="22"/>
              </w:rPr>
              <w:t>angst</w:t>
            </w:r>
          </w:p>
        </w:tc>
        <w:tc>
          <w:tcPr>
            <w:tcW w:w="607" w:type="pct"/>
          </w:tcPr>
          <w:p w14:paraId="642069D0"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Canadisk</w:t>
            </w:r>
          </w:p>
          <w:p w14:paraId="4A88430D"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fangst</w:t>
            </w:r>
            <w:r w:rsidR="000F04CE">
              <w:rPr>
                <w:rStyle w:val="Fodnotehenvisning"/>
                <w:rFonts w:asciiTheme="minorHAnsi" w:eastAsiaTheme="minorEastAsia" w:hAnsiTheme="minorHAnsi" w:cstheme="minorBidi"/>
                <w:b w:val="0"/>
                <w:color w:val="auto"/>
                <w:szCs w:val="22"/>
              </w:rPr>
              <w:footnoteReference w:id="9"/>
            </w:r>
          </w:p>
        </w:tc>
        <w:tc>
          <w:tcPr>
            <w:tcW w:w="438" w:type="pct"/>
          </w:tcPr>
          <w:p w14:paraId="6881388A" w14:textId="77777777" w:rsidR="00746184" w:rsidRPr="002000F6" w:rsidRDefault="008735D0"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 xml:space="preserve">? </w:t>
            </w:r>
            <w:r w:rsidR="00746184" w:rsidRPr="002000F6">
              <w:rPr>
                <w:rFonts w:asciiTheme="minorHAnsi" w:eastAsiaTheme="minorEastAsia" w:hAnsiTheme="minorHAnsi" w:cstheme="minorBidi"/>
                <w:b w:val="0"/>
                <w:color w:val="auto"/>
                <w:szCs w:val="22"/>
              </w:rPr>
              <w:t>%</w:t>
            </w:r>
          </w:p>
          <w:p w14:paraId="4062F8C6"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tab</w:t>
            </w:r>
          </w:p>
        </w:tc>
        <w:tc>
          <w:tcPr>
            <w:tcW w:w="584" w:type="pct"/>
          </w:tcPr>
          <w:p w14:paraId="2FEE9A53"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Anden</w:t>
            </w:r>
          </w:p>
          <w:p w14:paraId="6FA3262F" w14:textId="77777777" w:rsidR="00746184" w:rsidRPr="002000F6" w:rsidRDefault="00F1475B"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A</w:t>
            </w:r>
            <w:r w:rsidR="00746184" w:rsidRPr="002000F6">
              <w:rPr>
                <w:rFonts w:asciiTheme="minorHAnsi" w:eastAsiaTheme="minorEastAsia" w:hAnsiTheme="minorHAnsi" w:cstheme="minorBidi"/>
                <w:b w:val="0"/>
                <w:color w:val="auto"/>
                <w:szCs w:val="22"/>
              </w:rPr>
              <w:t>flivning</w:t>
            </w:r>
          </w:p>
        </w:tc>
        <w:tc>
          <w:tcPr>
            <w:tcW w:w="401" w:type="pct"/>
          </w:tcPr>
          <w:p w14:paraId="60FCD694"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5EC0CF32"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2000F6">
              <w:rPr>
                <w:rFonts w:asciiTheme="minorHAnsi" w:eastAsiaTheme="minorEastAsia" w:hAnsiTheme="minorHAnsi" w:cstheme="minorBidi"/>
                <w:szCs w:val="22"/>
              </w:rPr>
              <w:t>Total</w:t>
            </w:r>
          </w:p>
        </w:tc>
        <w:tc>
          <w:tcPr>
            <w:tcW w:w="717" w:type="pct"/>
          </w:tcPr>
          <w:p w14:paraId="25D98C6E"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25ED1494"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2000F6">
              <w:rPr>
                <w:rFonts w:asciiTheme="minorHAnsi" w:eastAsiaTheme="minorEastAsia" w:hAnsiTheme="minorHAnsi" w:cstheme="minorBidi"/>
                <w:szCs w:val="22"/>
              </w:rPr>
              <w:t>Rådgivning</w:t>
            </w:r>
          </w:p>
        </w:tc>
      </w:tr>
      <w:tr w:rsidR="001B26D4" w:rsidRPr="002000F6" w14:paraId="75B0B685" w14:textId="77777777" w:rsidTr="001B26D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6482AE78" w14:textId="77777777" w:rsidR="00746184" w:rsidRPr="002000F6" w:rsidRDefault="00746184" w:rsidP="00066B5D">
            <w:pPr>
              <w:rPr>
                <w:rFonts w:asciiTheme="minorHAnsi" w:eastAsiaTheme="minorEastAsia" w:hAnsiTheme="minorHAnsi" w:cstheme="minorBidi"/>
                <w:b w:val="0"/>
                <w:color w:val="auto"/>
              </w:rPr>
            </w:pPr>
            <w:r w:rsidRPr="002000F6">
              <w:rPr>
                <w:rFonts w:asciiTheme="minorHAnsi" w:eastAsiaTheme="minorEastAsia" w:hAnsiTheme="minorHAnsi" w:cstheme="minorBidi"/>
                <w:b w:val="0"/>
                <w:color w:val="auto"/>
              </w:rPr>
              <w:t>201</w:t>
            </w:r>
            <w:r w:rsidR="003F099E">
              <w:rPr>
                <w:rFonts w:asciiTheme="minorHAnsi" w:eastAsiaTheme="minorEastAsia" w:hAnsiTheme="minorHAnsi" w:cstheme="minorBidi"/>
                <w:b w:val="0"/>
                <w:color w:val="auto"/>
              </w:rPr>
              <w:t>4</w:t>
            </w:r>
          </w:p>
        </w:tc>
        <w:tc>
          <w:tcPr>
            <w:tcW w:w="784" w:type="pct"/>
          </w:tcPr>
          <w:p w14:paraId="046C2D87" w14:textId="77777777" w:rsidR="00746184" w:rsidRPr="002000F6" w:rsidRDefault="003F099E"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5</w:t>
            </w:r>
          </w:p>
        </w:tc>
        <w:tc>
          <w:tcPr>
            <w:tcW w:w="843" w:type="pct"/>
          </w:tcPr>
          <w:p w14:paraId="451B5827" w14:textId="77777777" w:rsidR="00746184" w:rsidRPr="002000F6" w:rsidRDefault="007923B4" w:rsidP="007923B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07" w:type="pct"/>
          </w:tcPr>
          <w:p w14:paraId="4511AE47" w14:textId="77777777" w:rsidR="00746184" w:rsidRPr="002000F6" w:rsidRDefault="00F91CC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38" w:type="pct"/>
          </w:tcPr>
          <w:p w14:paraId="5257B907" w14:textId="77777777" w:rsidR="00746184" w:rsidRPr="002000F6" w:rsidRDefault="007923B4" w:rsidP="007923B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584" w:type="pct"/>
          </w:tcPr>
          <w:p w14:paraId="0A621637" w14:textId="77777777" w:rsidR="00746184" w:rsidRPr="002000F6"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01" w:type="pct"/>
          </w:tcPr>
          <w:p w14:paraId="6FFAF932" w14:textId="77777777" w:rsidR="00746184" w:rsidRPr="002000F6" w:rsidRDefault="003F099E"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5</w:t>
            </w:r>
          </w:p>
        </w:tc>
        <w:tc>
          <w:tcPr>
            <w:tcW w:w="717" w:type="pct"/>
          </w:tcPr>
          <w:p w14:paraId="0A36DC5E" w14:textId="77777777" w:rsidR="00746184" w:rsidRPr="002000F6" w:rsidRDefault="00AF3BED"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r w:rsidR="000116AF" w:rsidRPr="002000F6" w14:paraId="36A7FE56" w14:textId="77777777" w:rsidTr="001B26D4">
        <w:trPr>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17570B3F" w14:textId="77777777" w:rsidR="00746184" w:rsidRPr="002000F6" w:rsidRDefault="00746184" w:rsidP="00066B5D">
            <w:pPr>
              <w:rPr>
                <w:rFonts w:asciiTheme="minorHAnsi" w:eastAsiaTheme="minorEastAsia" w:hAnsiTheme="minorHAnsi" w:cstheme="minorBidi"/>
                <w:b w:val="0"/>
                <w:color w:val="auto"/>
              </w:rPr>
            </w:pPr>
            <w:r w:rsidRPr="002000F6">
              <w:rPr>
                <w:rFonts w:asciiTheme="minorHAnsi" w:eastAsiaTheme="minorEastAsia" w:hAnsiTheme="minorHAnsi" w:cstheme="minorBidi"/>
                <w:b w:val="0"/>
                <w:color w:val="auto"/>
              </w:rPr>
              <w:t>201</w:t>
            </w:r>
            <w:r w:rsidR="003F099E">
              <w:rPr>
                <w:rFonts w:asciiTheme="minorHAnsi" w:eastAsiaTheme="minorEastAsia" w:hAnsiTheme="minorHAnsi" w:cstheme="minorBidi"/>
                <w:b w:val="0"/>
                <w:color w:val="auto"/>
              </w:rPr>
              <w:t>5</w:t>
            </w:r>
          </w:p>
        </w:tc>
        <w:tc>
          <w:tcPr>
            <w:tcW w:w="784" w:type="pct"/>
          </w:tcPr>
          <w:p w14:paraId="01573E57" w14:textId="77777777" w:rsidR="00746184" w:rsidRPr="002000F6" w:rsidRDefault="003F099E"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w:t>
            </w:r>
          </w:p>
        </w:tc>
        <w:tc>
          <w:tcPr>
            <w:tcW w:w="843" w:type="pct"/>
          </w:tcPr>
          <w:p w14:paraId="0AFF49E7" w14:textId="77777777" w:rsidR="00746184" w:rsidRPr="002000F6" w:rsidRDefault="007923B4" w:rsidP="007923B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07" w:type="pct"/>
          </w:tcPr>
          <w:p w14:paraId="7EC2E288" w14:textId="77777777" w:rsidR="00746184" w:rsidRPr="002000F6" w:rsidRDefault="00384321"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38" w:type="pct"/>
          </w:tcPr>
          <w:p w14:paraId="157968EB" w14:textId="77777777" w:rsidR="00746184" w:rsidRPr="002000F6" w:rsidRDefault="007923B4" w:rsidP="007923B4">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584" w:type="pct"/>
          </w:tcPr>
          <w:p w14:paraId="6DBAB1A5" w14:textId="77777777" w:rsidR="00746184" w:rsidRPr="002000F6" w:rsidRDefault="00F1475B"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01" w:type="pct"/>
          </w:tcPr>
          <w:p w14:paraId="2E3E0293" w14:textId="77777777" w:rsidR="00746184" w:rsidRPr="002000F6" w:rsidRDefault="00DF62A7"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6</w:t>
            </w:r>
          </w:p>
        </w:tc>
        <w:tc>
          <w:tcPr>
            <w:tcW w:w="717" w:type="pct"/>
          </w:tcPr>
          <w:p w14:paraId="1BF59028" w14:textId="77777777" w:rsidR="00746184" w:rsidRPr="002000F6" w:rsidRDefault="00AF3BED"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r w:rsidR="001B26D4" w:rsidRPr="002000F6" w14:paraId="4BDC5C5B" w14:textId="77777777" w:rsidTr="001B26D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65D4FEBC" w14:textId="77777777" w:rsidR="00746184" w:rsidRPr="002000F6" w:rsidRDefault="00746184" w:rsidP="00066B5D">
            <w:pPr>
              <w:rPr>
                <w:rFonts w:asciiTheme="minorHAnsi" w:eastAsiaTheme="minorEastAsia" w:hAnsiTheme="minorHAnsi" w:cstheme="minorBidi"/>
                <w:b w:val="0"/>
                <w:color w:val="auto"/>
              </w:rPr>
            </w:pPr>
            <w:r w:rsidRPr="002000F6">
              <w:rPr>
                <w:rFonts w:asciiTheme="minorHAnsi" w:eastAsiaTheme="minorEastAsia" w:hAnsiTheme="minorHAnsi" w:cstheme="minorBidi"/>
                <w:b w:val="0"/>
                <w:color w:val="auto"/>
              </w:rPr>
              <w:t>201</w:t>
            </w:r>
            <w:r w:rsidR="003F099E">
              <w:rPr>
                <w:rFonts w:asciiTheme="minorHAnsi" w:eastAsiaTheme="minorEastAsia" w:hAnsiTheme="minorHAnsi" w:cstheme="minorBidi"/>
                <w:b w:val="0"/>
                <w:color w:val="auto"/>
              </w:rPr>
              <w:t>6</w:t>
            </w:r>
          </w:p>
        </w:tc>
        <w:tc>
          <w:tcPr>
            <w:tcW w:w="784" w:type="pct"/>
          </w:tcPr>
          <w:p w14:paraId="373D55CD" w14:textId="77777777" w:rsidR="00746184" w:rsidRPr="002000F6" w:rsidRDefault="00E8052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w:t>
            </w:r>
          </w:p>
        </w:tc>
        <w:tc>
          <w:tcPr>
            <w:tcW w:w="843" w:type="pct"/>
          </w:tcPr>
          <w:p w14:paraId="47117BB4" w14:textId="77777777" w:rsidR="00746184" w:rsidRPr="002000F6" w:rsidRDefault="007923B4" w:rsidP="007923B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07" w:type="pct"/>
          </w:tcPr>
          <w:p w14:paraId="04C38741" w14:textId="77777777" w:rsidR="00746184" w:rsidRPr="002000F6" w:rsidRDefault="000F04CE"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38" w:type="pct"/>
          </w:tcPr>
          <w:p w14:paraId="5C287A70" w14:textId="77777777" w:rsidR="00746184" w:rsidRPr="002000F6"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584" w:type="pct"/>
          </w:tcPr>
          <w:p w14:paraId="17EE12E0" w14:textId="77777777" w:rsidR="00746184" w:rsidRPr="002000F6" w:rsidRDefault="0011671A" w:rsidP="0011671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2</w:t>
            </w:r>
          </w:p>
        </w:tc>
        <w:tc>
          <w:tcPr>
            <w:tcW w:w="401" w:type="pct"/>
          </w:tcPr>
          <w:p w14:paraId="2356DC57" w14:textId="77777777" w:rsidR="00746184" w:rsidRPr="002000F6" w:rsidRDefault="00DF62A7" w:rsidP="0011671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6</w:t>
            </w:r>
          </w:p>
        </w:tc>
        <w:tc>
          <w:tcPr>
            <w:tcW w:w="717" w:type="pct"/>
          </w:tcPr>
          <w:p w14:paraId="564FBB96" w14:textId="77777777" w:rsidR="00746184" w:rsidRPr="002000F6" w:rsidRDefault="00AF3BED"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r w:rsidR="007923B4" w:rsidRPr="002000F6" w14:paraId="1AD173F8" w14:textId="77777777" w:rsidTr="001B26D4">
        <w:trPr>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5FCFFA5B" w14:textId="77777777" w:rsidR="007923B4" w:rsidRPr="007923B4" w:rsidRDefault="007923B4" w:rsidP="00066B5D">
            <w:pPr>
              <w:rPr>
                <w:rFonts w:asciiTheme="minorHAnsi" w:eastAsiaTheme="minorEastAsia" w:hAnsiTheme="minorHAnsi" w:cstheme="minorBidi"/>
                <w:b w:val="0"/>
              </w:rPr>
            </w:pPr>
            <w:r>
              <w:rPr>
                <w:rFonts w:asciiTheme="minorHAnsi" w:eastAsiaTheme="minorEastAsia" w:hAnsiTheme="minorHAnsi" w:cstheme="minorBidi"/>
                <w:b w:val="0"/>
              </w:rPr>
              <w:t>i alt</w:t>
            </w:r>
          </w:p>
        </w:tc>
        <w:tc>
          <w:tcPr>
            <w:tcW w:w="784" w:type="pct"/>
          </w:tcPr>
          <w:p w14:paraId="48C45318" w14:textId="77777777" w:rsidR="007923B4" w:rsidRDefault="00E80520"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15</w:t>
            </w:r>
          </w:p>
        </w:tc>
        <w:tc>
          <w:tcPr>
            <w:tcW w:w="843" w:type="pct"/>
          </w:tcPr>
          <w:p w14:paraId="2EB497FC" w14:textId="77777777" w:rsidR="007923B4" w:rsidRDefault="007923B4"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607" w:type="pct"/>
          </w:tcPr>
          <w:p w14:paraId="61377756" w14:textId="77777777" w:rsidR="007923B4" w:rsidRDefault="007923B4"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38" w:type="pct"/>
          </w:tcPr>
          <w:p w14:paraId="27EA0173" w14:textId="77777777" w:rsidR="007923B4" w:rsidRDefault="008068BA"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584" w:type="pct"/>
          </w:tcPr>
          <w:p w14:paraId="57465F22" w14:textId="77777777" w:rsidR="007923B4" w:rsidRDefault="00DF62A7"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w:t>
            </w:r>
          </w:p>
        </w:tc>
        <w:tc>
          <w:tcPr>
            <w:tcW w:w="401" w:type="pct"/>
          </w:tcPr>
          <w:p w14:paraId="41BC8AB2" w14:textId="77777777" w:rsidR="007923B4" w:rsidRDefault="00DF62A7" w:rsidP="00DF62A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17</w:t>
            </w:r>
          </w:p>
        </w:tc>
        <w:tc>
          <w:tcPr>
            <w:tcW w:w="717" w:type="pct"/>
          </w:tcPr>
          <w:p w14:paraId="7921A55A" w14:textId="77777777" w:rsidR="007923B4" w:rsidRDefault="007923B4"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bl>
    <w:p w14:paraId="705AB7C0" w14:textId="77777777" w:rsidR="00CD4DD4" w:rsidRPr="002000F6" w:rsidRDefault="00CD4DD4" w:rsidP="004613F9">
      <w:pPr>
        <w:spacing w:before="240"/>
      </w:pPr>
    </w:p>
    <w:tbl>
      <w:tblPr>
        <w:tblStyle w:val="Lysskygge-farve1"/>
        <w:tblW w:w="5258" w:type="pct"/>
        <w:tblLook w:val="04A0" w:firstRow="1" w:lastRow="0" w:firstColumn="1" w:lastColumn="0" w:noHBand="0" w:noVBand="1"/>
      </w:tblPr>
      <w:tblGrid>
        <w:gridCol w:w="1230"/>
        <w:gridCol w:w="1532"/>
        <w:gridCol w:w="1648"/>
        <w:gridCol w:w="1186"/>
        <w:gridCol w:w="856"/>
        <w:gridCol w:w="1141"/>
        <w:gridCol w:w="783"/>
        <w:gridCol w:w="1402"/>
      </w:tblGrid>
      <w:tr w:rsidR="00746184" w:rsidRPr="002000F6" w14:paraId="657E813D" w14:textId="77777777" w:rsidTr="00066B5D">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6348259A" w14:textId="77777777" w:rsidR="00746184" w:rsidRPr="002000F6" w:rsidRDefault="00581942" w:rsidP="00066B5D">
            <w:pPr>
              <w:rPr>
                <w:rFonts w:asciiTheme="minorHAnsi" w:eastAsiaTheme="minorEastAsia" w:hAnsiTheme="minorHAnsi" w:cstheme="minorBidi"/>
                <w:color w:val="auto"/>
                <w:szCs w:val="22"/>
              </w:rPr>
            </w:pPr>
            <w:r w:rsidRPr="002000F6">
              <w:rPr>
                <w:rFonts w:asciiTheme="minorHAnsi" w:eastAsiaTheme="minorEastAsia" w:hAnsiTheme="minorHAnsi" w:cstheme="minorBidi"/>
                <w:color w:val="auto"/>
                <w:szCs w:val="22"/>
              </w:rPr>
              <w:t>Baffin Bay</w:t>
            </w:r>
          </w:p>
        </w:tc>
        <w:tc>
          <w:tcPr>
            <w:tcW w:w="784" w:type="pct"/>
          </w:tcPr>
          <w:p w14:paraId="61D771AA"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Rapporteret</w:t>
            </w:r>
          </w:p>
          <w:p w14:paraId="2130761A"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fangst</w:t>
            </w:r>
          </w:p>
        </w:tc>
        <w:tc>
          <w:tcPr>
            <w:tcW w:w="843" w:type="pct"/>
          </w:tcPr>
          <w:p w14:paraId="5B2F9A23"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Urapporteret</w:t>
            </w:r>
          </w:p>
          <w:p w14:paraId="4C39109F" w14:textId="77777777" w:rsidR="00746184" w:rsidRPr="002000F6" w:rsidRDefault="00BE0F62"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F</w:t>
            </w:r>
            <w:r w:rsidR="00746184" w:rsidRPr="002000F6">
              <w:rPr>
                <w:rFonts w:asciiTheme="minorHAnsi" w:eastAsiaTheme="minorEastAsia" w:hAnsiTheme="minorHAnsi" w:cstheme="minorBidi"/>
                <w:b w:val="0"/>
                <w:color w:val="auto"/>
                <w:szCs w:val="22"/>
              </w:rPr>
              <w:t>angst</w:t>
            </w:r>
          </w:p>
        </w:tc>
        <w:tc>
          <w:tcPr>
            <w:tcW w:w="607" w:type="pct"/>
          </w:tcPr>
          <w:p w14:paraId="443F90C8"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Canadisk</w:t>
            </w:r>
          </w:p>
          <w:p w14:paraId="55A22D82" w14:textId="7F5368DA" w:rsidR="00746184" w:rsidRPr="00F2595D" w:rsidRDefault="003602D8" w:rsidP="003602D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vertAlign w:val="superscript"/>
              </w:rPr>
            </w:pPr>
            <w:r w:rsidRPr="002000F6">
              <w:rPr>
                <w:rFonts w:asciiTheme="minorHAnsi" w:eastAsiaTheme="minorEastAsia" w:hAnsiTheme="minorHAnsi" w:cstheme="minorBidi"/>
                <w:b w:val="0"/>
                <w:color w:val="auto"/>
                <w:szCs w:val="22"/>
              </w:rPr>
              <w:t>Fangst</w:t>
            </w:r>
            <w:r>
              <w:rPr>
                <w:rFonts w:asciiTheme="minorHAnsi" w:eastAsiaTheme="minorEastAsia" w:hAnsiTheme="minorHAnsi" w:cstheme="minorBidi"/>
                <w:b w:val="0"/>
                <w:color w:val="auto"/>
                <w:szCs w:val="22"/>
                <w:vertAlign w:val="superscript"/>
              </w:rPr>
              <w:t>9</w:t>
            </w:r>
          </w:p>
        </w:tc>
        <w:tc>
          <w:tcPr>
            <w:tcW w:w="438" w:type="pct"/>
          </w:tcPr>
          <w:p w14:paraId="49B8C0CC" w14:textId="77777777" w:rsidR="00746184" w:rsidRPr="002000F6" w:rsidRDefault="008735D0"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 xml:space="preserve">? </w:t>
            </w:r>
            <w:r w:rsidR="00746184" w:rsidRPr="002000F6">
              <w:rPr>
                <w:rFonts w:asciiTheme="minorHAnsi" w:eastAsiaTheme="minorEastAsia" w:hAnsiTheme="minorHAnsi" w:cstheme="minorBidi"/>
                <w:b w:val="0"/>
                <w:color w:val="auto"/>
                <w:szCs w:val="22"/>
              </w:rPr>
              <w:t>%</w:t>
            </w:r>
          </w:p>
          <w:p w14:paraId="4FC93384"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tab</w:t>
            </w:r>
          </w:p>
        </w:tc>
        <w:tc>
          <w:tcPr>
            <w:tcW w:w="584" w:type="pct"/>
          </w:tcPr>
          <w:p w14:paraId="74CA2DE2"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Anden</w:t>
            </w:r>
          </w:p>
          <w:p w14:paraId="0B4F3CA1" w14:textId="77777777" w:rsidR="00746184" w:rsidRPr="002000F6" w:rsidRDefault="00F1475B"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A</w:t>
            </w:r>
            <w:r w:rsidR="00746184" w:rsidRPr="002000F6">
              <w:rPr>
                <w:rFonts w:asciiTheme="minorHAnsi" w:eastAsiaTheme="minorEastAsia" w:hAnsiTheme="minorHAnsi" w:cstheme="minorBidi"/>
                <w:b w:val="0"/>
                <w:color w:val="auto"/>
                <w:szCs w:val="22"/>
              </w:rPr>
              <w:t>flivning</w:t>
            </w:r>
          </w:p>
        </w:tc>
        <w:tc>
          <w:tcPr>
            <w:tcW w:w="401" w:type="pct"/>
          </w:tcPr>
          <w:p w14:paraId="79D593F9"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119AAD19"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2000F6">
              <w:rPr>
                <w:rFonts w:asciiTheme="minorHAnsi" w:eastAsiaTheme="minorEastAsia" w:hAnsiTheme="minorHAnsi" w:cstheme="minorBidi"/>
                <w:szCs w:val="22"/>
              </w:rPr>
              <w:t>Total</w:t>
            </w:r>
          </w:p>
        </w:tc>
        <w:tc>
          <w:tcPr>
            <w:tcW w:w="717" w:type="pct"/>
          </w:tcPr>
          <w:p w14:paraId="75EF5273"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793AF2B8"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2000F6">
              <w:rPr>
                <w:rFonts w:asciiTheme="minorHAnsi" w:eastAsiaTheme="minorEastAsia" w:hAnsiTheme="minorHAnsi" w:cstheme="minorBidi"/>
                <w:szCs w:val="22"/>
              </w:rPr>
              <w:t>Rådgivning</w:t>
            </w:r>
          </w:p>
        </w:tc>
      </w:tr>
      <w:tr w:rsidR="00F1475B" w:rsidRPr="002000F6" w14:paraId="1C1623F5" w14:textId="77777777" w:rsidTr="0006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4130FFDD" w14:textId="77777777" w:rsidR="00F1475B" w:rsidRPr="002000F6" w:rsidRDefault="00F1475B" w:rsidP="00066B5D">
            <w:pPr>
              <w:rPr>
                <w:rFonts w:asciiTheme="minorHAnsi" w:eastAsiaTheme="minorEastAsia" w:hAnsiTheme="minorHAnsi" w:cstheme="minorBidi"/>
                <w:b w:val="0"/>
                <w:color w:val="auto"/>
              </w:rPr>
            </w:pPr>
            <w:r w:rsidRPr="002000F6">
              <w:rPr>
                <w:rFonts w:asciiTheme="minorHAnsi" w:eastAsiaTheme="minorEastAsia" w:hAnsiTheme="minorHAnsi" w:cstheme="minorBidi"/>
                <w:b w:val="0"/>
                <w:color w:val="auto"/>
              </w:rPr>
              <w:t>201</w:t>
            </w:r>
            <w:r w:rsidR="003F099E">
              <w:rPr>
                <w:rFonts w:asciiTheme="minorHAnsi" w:eastAsiaTheme="minorEastAsia" w:hAnsiTheme="minorHAnsi" w:cstheme="minorBidi"/>
                <w:b w:val="0"/>
                <w:color w:val="auto"/>
              </w:rPr>
              <w:t>4</w:t>
            </w:r>
          </w:p>
        </w:tc>
        <w:tc>
          <w:tcPr>
            <w:tcW w:w="784" w:type="pct"/>
          </w:tcPr>
          <w:p w14:paraId="0FD4A10C" w14:textId="77777777" w:rsidR="00F1475B" w:rsidRPr="002000F6" w:rsidRDefault="003F099E"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70</w:t>
            </w:r>
          </w:p>
        </w:tc>
        <w:tc>
          <w:tcPr>
            <w:tcW w:w="843" w:type="pct"/>
          </w:tcPr>
          <w:p w14:paraId="6B330214" w14:textId="77777777" w:rsidR="00F1475B" w:rsidRPr="002000F6" w:rsidRDefault="008068BA" w:rsidP="00F1475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07" w:type="pct"/>
          </w:tcPr>
          <w:p w14:paraId="1EE3A65D" w14:textId="77777777" w:rsidR="00F1475B" w:rsidRPr="002000F6" w:rsidRDefault="003F099E" w:rsidP="00256834">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67</w:t>
            </w:r>
          </w:p>
        </w:tc>
        <w:tc>
          <w:tcPr>
            <w:tcW w:w="438" w:type="pct"/>
          </w:tcPr>
          <w:p w14:paraId="1E72033F" w14:textId="77777777" w:rsidR="00F1475B" w:rsidRPr="002000F6" w:rsidRDefault="00F1475B" w:rsidP="00F1475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584" w:type="pct"/>
          </w:tcPr>
          <w:p w14:paraId="16F349FA" w14:textId="77777777" w:rsidR="00F1475B" w:rsidRPr="002000F6" w:rsidRDefault="003F099E"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401" w:type="pct"/>
          </w:tcPr>
          <w:p w14:paraId="0E69B73E" w14:textId="77777777" w:rsidR="00F1475B" w:rsidRPr="002000F6" w:rsidRDefault="00256834"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13</w:t>
            </w:r>
            <w:r w:rsidR="003F099E">
              <w:rPr>
                <w:rFonts w:asciiTheme="minorHAnsi" w:eastAsiaTheme="minorEastAsia" w:hAnsiTheme="minorHAnsi" w:cstheme="minorBidi"/>
              </w:rPr>
              <w:t>8</w:t>
            </w:r>
          </w:p>
        </w:tc>
        <w:tc>
          <w:tcPr>
            <w:tcW w:w="717" w:type="pct"/>
          </w:tcPr>
          <w:p w14:paraId="08A77A94" w14:textId="77777777" w:rsidR="00F1475B" w:rsidRPr="002000F6"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r w:rsidR="00F1475B" w:rsidRPr="002000F6" w14:paraId="706538F6" w14:textId="77777777" w:rsidTr="00066B5D">
        <w:trPr>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186E3D95" w14:textId="77777777" w:rsidR="00F1475B" w:rsidRPr="002000F6" w:rsidRDefault="00F1475B" w:rsidP="00066B5D">
            <w:pPr>
              <w:rPr>
                <w:rFonts w:asciiTheme="minorHAnsi" w:eastAsiaTheme="minorEastAsia" w:hAnsiTheme="minorHAnsi" w:cstheme="minorBidi"/>
                <w:b w:val="0"/>
                <w:color w:val="auto"/>
              </w:rPr>
            </w:pPr>
            <w:r w:rsidRPr="002000F6">
              <w:rPr>
                <w:rFonts w:asciiTheme="minorHAnsi" w:eastAsiaTheme="minorEastAsia" w:hAnsiTheme="minorHAnsi" w:cstheme="minorBidi"/>
                <w:b w:val="0"/>
                <w:color w:val="auto"/>
              </w:rPr>
              <w:t>201</w:t>
            </w:r>
            <w:r w:rsidR="003F099E">
              <w:rPr>
                <w:rFonts w:asciiTheme="minorHAnsi" w:eastAsiaTheme="minorEastAsia" w:hAnsiTheme="minorHAnsi" w:cstheme="minorBidi"/>
                <w:b w:val="0"/>
                <w:color w:val="auto"/>
              </w:rPr>
              <w:t>5</w:t>
            </w:r>
          </w:p>
        </w:tc>
        <w:tc>
          <w:tcPr>
            <w:tcW w:w="784" w:type="pct"/>
          </w:tcPr>
          <w:p w14:paraId="583D2CDB" w14:textId="77777777" w:rsidR="00F1475B" w:rsidRPr="002000F6" w:rsidRDefault="00F1475B"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w:t>
            </w:r>
            <w:r w:rsidR="003F099E">
              <w:rPr>
                <w:rFonts w:asciiTheme="minorHAnsi" w:eastAsiaTheme="minorEastAsia" w:hAnsiTheme="minorHAnsi" w:cstheme="minorBidi"/>
                <w:color w:val="auto"/>
              </w:rPr>
              <w:t>2</w:t>
            </w:r>
          </w:p>
        </w:tc>
        <w:tc>
          <w:tcPr>
            <w:tcW w:w="843" w:type="pct"/>
          </w:tcPr>
          <w:p w14:paraId="3DEEC272" w14:textId="77777777" w:rsidR="00F1475B" w:rsidRPr="002000F6" w:rsidRDefault="008068BA" w:rsidP="00F1475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07" w:type="pct"/>
          </w:tcPr>
          <w:p w14:paraId="0BA6770B" w14:textId="77777777" w:rsidR="00F1475B" w:rsidRPr="002000F6" w:rsidRDefault="00256834" w:rsidP="00F1475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w:t>
            </w:r>
            <w:r w:rsidR="003F099E">
              <w:rPr>
                <w:rFonts w:asciiTheme="minorHAnsi" w:eastAsiaTheme="minorEastAsia" w:hAnsiTheme="minorHAnsi" w:cstheme="minorBidi"/>
                <w:color w:val="auto"/>
              </w:rPr>
              <w:t>3</w:t>
            </w:r>
          </w:p>
        </w:tc>
        <w:tc>
          <w:tcPr>
            <w:tcW w:w="438" w:type="pct"/>
          </w:tcPr>
          <w:p w14:paraId="0C319C7E" w14:textId="77777777" w:rsidR="00F1475B" w:rsidRPr="002000F6" w:rsidRDefault="00F1475B" w:rsidP="00F1475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584" w:type="pct"/>
          </w:tcPr>
          <w:p w14:paraId="664D49CA" w14:textId="77777777" w:rsidR="00F1475B" w:rsidRPr="002000F6" w:rsidRDefault="00F1475B"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401" w:type="pct"/>
          </w:tcPr>
          <w:p w14:paraId="3E14B72E" w14:textId="77777777" w:rsidR="00F1475B" w:rsidRPr="002000F6" w:rsidRDefault="00256834"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13</w:t>
            </w:r>
            <w:r w:rsidR="003F099E">
              <w:rPr>
                <w:rFonts w:asciiTheme="minorHAnsi" w:eastAsiaTheme="minorEastAsia" w:hAnsiTheme="minorHAnsi" w:cstheme="minorBidi"/>
              </w:rPr>
              <w:t>6</w:t>
            </w:r>
          </w:p>
        </w:tc>
        <w:tc>
          <w:tcPr>
            <w:tcW w:w="717" w:type="pct"/>
          </w:tcPr>
          <w:p w14:paraId="3BC42FA9" w14:textId="77777777" w:rsidR="00F1475B" w:rsidRPr="002000F6" w:rsidRDefault="00F1475B"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r w:rsidR="00F1475B" w:rsidRPr="002000F6" w14:paraId="29225353" w14:textId="77777777" w:rsidTr="00066B5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76473C03" w14:textId="77777777" w:rsidR="00F1475B" w:rsidRPr="002000F6" w:rsidRDefault="00F1475B" w:rsidP="00066B5D">
            <w:pPr>
              <w:rPr>
                <w:rFonts w:asciiTheme="minorHAnsi" w:eastAsiaTheme="minorEastAsia" w:hAnsiTheme="minorHAnsi" w:cstheme="minorBidi"/>
                <w:b w:val="0"/>
                <w:color w:val="auto"/>
              </w:rPr>
            </w:pPr>
            <w:r w:rsidRPr="002000F6">
              <w:rPr>
                <w:rFonts w:asciiTheme="minorHAnsi" w:eastAsiaTheme="minorEastAsia" w:hAnsiTheme="minorHAnsi" w:cstheme="minorBidi"/>
                <w:b w:val="0"/>
                <w:color w:val="auto"/>
              </w:rPr>
              <w:t>201</w:t>
            </w:r>
            <w:r w:rsidR="003F099E">
              <w:rPr>
                <w:rFonts w:asciiTheme="minorHAnsi" w:eastAsiaTheme="minorEastAsia" w:hAnsiTheme="minorHAnsi" w:cstheme="minorBidi"/>
                <w:b w:val="0"/>
                <w:color w:val="auto"/>
              </w:rPr>
              <w:t>6</w:t>
            </w:r>
          </w:p>
        </w:tc>
        <w:tc>
          <w:tcPr>
            <w:tcW w:w="784" w:type="pct"/>
          </w:tcPr>
          <w:p w14:paraId="25D628AA" w14:textId="77777777" w:rsidR="00F1475B" w:rsidRPr="002000F6" w:rsidRDefault="00E8052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49</w:t>
            </w:r>
          </w:p>
        </w:tc>
        <w:tc>
          <w:tcPr>
            <w:tcW w:w="843" w:type="pct"/>
          </w:tcPr>
          <w:p w14:paraId="23E2D90D" w14:textId="77777777" w:rsidR="00F1475B" w:rsidRPr="002000F6" w:rsidRDefault="008068BA" w:rsidP="00F1475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07" w:type="pct"/>
          </w:tcPr>
          <w:p w14:paraId="50AD92A6" w14:textId="77777777" w:rsidR="00F1475B" w:rsidRPr="002000F6" w:rsidRDefault="002616BD" w:rsidP="00F1475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438" w:type="pct"/>
          </w:tcPr>
          <w:p w14:paraId="2DDFDCB9" w14:textId="77777777" w:rsidR="00F1475B" w:rsidRPr="002000F6" w:rsidRDefault="00F1475B" w:rsidP="00F1475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584" w:type="pct"/>
          </w:tcPr>
          <w:p w14:paraId="002366B3" w14:textId="77777777" w:rsidR="00F1475B" w:rsidRPr="002000F6" w:rsidRDefault="0011671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401" w:type="pct"/>
          </w:tcPr>
          <w:p w14:paraId="69278B0F" w14:textId="77777777" w:rsidR="00F1475B" w:rsidRPr="002000F6" w:rsidRDefault="00DF62A7"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717" w:type="pct"/>
          </w:tcPr>
          <w:p w14:paraId="2D0EBAD5" w14:textId="77777777" w:rsidR="00F1475B" w:rsidRPr="002000F6" w:rsidRDefault="00F1475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r w:rsidR="008068BA" w:rsidRPr="002000F6" w14:paraId="754DAC97" w14:textId="77777777" w:rsidTr="00066B5D">
        <w:trPr>
          <w:trHeight w:val="315"/>
        </w:trPr>
        <w:tc>
          <w:tcPr>
            <w:cnfStyle w:val="001000000000" w:firstRow="0" w:lastRow="0" w:firstColumn="1" w:lastColumn="0" w:oddVBand="0" w:evenVBand="0" w:oddHBand="0" w:evenHBand="0" w:firstRowFirstColumn="0" w:firstRowLastColumn="0" w:lastRowFirstColumn="0" w:lastRowLastColumn="0"/>
            <w:tcW w:w="626" w:type="pct"/>
            <w:noWrap/>
          </w:tcPr>
          <w:p w14:paraId="24E357BE" w14:textId="77777777" w:rsidR="008068BA" w:rsidRPr="008068BA" w:rsidRDefault="008068BA" w:rsidP="00066B5D">
            <w:pPr>
              <w:rPr>
                <w:rFonts w:asciiTheme="minorHAnsi" w:eastAsiaTheme="minorEastAsia" w:hAnsiTheme="minorHAnsi" w:cstheme="minorBidi"/>
                <w:b w:val="0"/>
              </w:rPr>
            </w:pPr>
            <w:r>
              <w:rPr>
                <w:rFonts w:asciiTheme="minorHAnsi" w:eastAsiaTheme="minorEastAsia" w:hAnsiTheme="minorHAnsi" w:cstheme="minorBidi"/>
                <w:b w:val="0"/>
              </w:rPr>
              <w:t>i alt</w:t>
            </w:r>
          </w:p>
        </w:tc>
        <w:tc>
          <w:tcPr>
            <w:tcW w:w="784" w:type="pct"/>
          </w:tcPr>
          <w:p w14:paraId="40A9DD87" w14:textId="77777777" w:rsidR="008068BA" w:rsidRDefault="00E80520"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191</w:t>
            </w:r>
          </w:p>
        </w:tc>
        <w:tc>
          <w:tcPr>
            <w:tcW w:w="843" w:type="pct"/>
          </w:tcPr>
          <w:p w14:paraId="4FA46526" w14:textId="77777777" w:rsidR="008068BA" w:rsidRDefault="008068BA" w:rsidP="00F1475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607" w:type="pct"/>
          </w:tcPr>
          <w:p w14:paraId="70C94C3A" w14:textId="77777777" w:rsidR="008068BA" w:rsidRDefault="00DF62A7" w:rsidP="00F1475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438" w:type="pct"/>
          </w:tcPr>
          <w:p w14:paraId="757E3CB6" w14:textId="77777777" w:rsidR="008068BA" w:rsidRDefault="008068BA" w:rsidP="00F1475B">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584" w:type="pct"/>
          </w:tcPr>
          <w:p w14:paraId="06EC04D6" w14:textId="77777777" w:rsidR="008068BA" w:rsidRDefault="00DF62A7"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401" w:type="pct"/>
          </w:tcPr>
          <w:p w14:paraId="27823CD1" w14:textId="77777777" w:rsidR="008068BA" w:rsidRDefault="00DF62A7"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717" w:type="pct"/>
          </w:tcPr>
          <w:p w14:paraId="4A63E4CF" w14:textId="77777777" w:rsidR="008068BA" w:rsidRDefault="008068BA"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bl>
    <w:p w14:paraId="3FE3236D" w14:textId="77777777" w:rsidR="00CD4DD4" w:rsidRPr="002000F6" w:rsidRDefault="00CD4DD4" w:rsidP="004613F9">
      <w:pPr>
        <w:spacing w:before="240"/>
      </w:pPr>
    </w:p>
    <w:tbl>
      <w:tblPr>
        <w:tblStyle w:val="Lysskygge-farve1"/>
        <w:tblW w:w="5258" w:type="pct"/>
        <w:tblLook w:val="04A0" w:firstRow="1" w:lastRow="0" w:firstColumn="1" w:lastColumn="0" w:noHBand="0" w:noVBand="1"/>
      </w:tblPr>
      <w:tblGrid>
        <w:gridCol w:w="1351"/>
        <w:gridCol w:w="1515"/>
        <w:gridCol w:w="1631"/>
        <w:gridCol w:w="1169"/>
        <w:gridCol w:w="837"/>
        <w:gridCol w:w="1125"/>
        <w:gridCol w:w="767"/>
        <w:gridCol w:w="1383"/>
      </w:tblGrid>
      <w:tr w:rsidR="00581942" w:rsidRPr="002000F6" w14:paraId="0B591F11" w14:textId="77777777" w:rsidTr="008212A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8" w:type="pct"/>
            <w:noWrap/>
          </w:tcPr>
          <w:p w14:paraId="07D2EF22" w14:textId="77777777" w:rsidR="00746184" w:rsidRPr="002000F6" w:rsidRDefault="00581942" w:rsidP="00066B5D">
            <w:pPr>
              <w:rPr>
                <w:rFonts w:asciiTheme="minorHAnsi" w:eastAsiaTheme="minorEastAsia" w:hAnsiTheme="minorHAnsi" w:cstheme="minorBidi"/>
                <w:color w:val="auto"/>
                <w:szCs w:val="22"/>
              </w:rPr>
            </w:pPr>
            <w:r w:rsidRPr="002000F6">
              <w:rPr>
                <w:rFonts w:asciiTheme="minorHAnsi" w:eastAsiaTheme="minorEastAsia" w:hAnsiTheme="minorHAnsi" w:cstheme="minorBidi"/>
                <w:color w:val="auto"/>
                <w:szCs w:val="22"/>
              </w:rPr>
              <w:t>Davis Strait</w:t>
            </w:r>
          </w:p>
        </w:tc>
        <w:tc>
          <w:tcPr>
            <w:tcW w:w="784" w:type="pct"/>
          </w:tcPr>
          <w:p w14:paraId="422C995C"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Rapporteret</w:t>
            </w:r>
          </w:p>
          <w:p w14:paraId="44042621"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fangst</w:t>
            </w:r>
          </w:p>
        </w:tc>
        <w:tc>
          <w:tcPr>
            <w:tcW w:w="843" w:type="pct"/>
          </w:tcPr>
          <w:p w14:paraId="6E37934E"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Urapporteret</w:t>
            </w:r>
          </w:p>
          <w:p w14:paraId="651B16F0"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fangst</w:t>
            </w:r>
          </w:p>
        </w:tc>
        <w:tc>
          <w:tcPr>
            <w:tcW w:w="607" w:type="pct"/>
          </w:tcPr>
          <w:p w14:paraId="5B4BDBEA"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Canadisk</w:t>
            </w:r>
          </w:p>
          <w:p w14:paraId="08407AF9" w14:textId="68200D5E" w:rsidR="00746184" w:rsidRPr="00F2595D" w:rsidRDefault="000F04CE" w:rsidP="007056C1">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vertAlign w:val="superscript"/>
              </w:rPr>
            </w:pPr>
            <w:r w:rsidRPr="002000F6">
              <w:rPr>
                <w:rFonts w:asciiTheme="minorHAnsi" w:eastAsiaTheme="minorEastAsia" w:hAnsiTheme="minorHAnsi" w:cstheme="minorBidi"/>
                <w:b w:val="0"/>
                <w:color w:val="auto"/>
                <w:szCs w:val="22"/>
              </w:rPr>
              <w:t>F</w:t>
            </w:r>
            <w:r w:rsidR="00746184" w:rsidRPr="002000F6">
              <w:rPr>
                <w:rFonts w:asciiTheme="minorHAnsi" w:eastAsiaTheme="minorEastAsia" w:hAnsiTheme="minorHAnsi" w:cstheme="minorBidi"/>
                <w:b w:val="0"/>
                <w:color w:val="auto"/>
                <w:szCs w:val="22"/>
              </w:rPr>
              <w:t>angst</w:t>
            </w:r>
            <w:r w:rsidR="00F2595D">
              <w:rPr>
                <w:rFonts w:asciiTheme="minorHAnsi" w:eastAsiaTheme="minorEastAsia" w:hAnsiTheme="minorHAnsi" w:cstheme="minorBidi"/>
                <w:b w:val="0"/>
                <w:color w:val="auto"/>
                <w:szCs w:val="22"/>
                <w:vertAlign w:val="superscript"/>
              </w:rPr>
              <w:t>,</w:t>
            </w:r>
            <w:r w:rsidR="00F2595D">
              <w:rPr>
                <w:rStyle w:val="Fodnotehenvisning"/>
                <w:rFonts w:asciiTheme="minorHAnsi" w:eastAsiaTheme="minorEastAsia" w:hAnsiTheme="minorHAnsi" w:cstheme="minorBidi"/>
                <w:b w:val="0"/>
                <w:color w:val="auto"/>
                <w:szCs w:val="22"/>
              </w:rPr>
              <w:footnoteReference w:id="10"/>
            </w:r>
          </w:p>
        </w:tc>
        <w:tc>
          <w:tcPr>
            <w:tcW w:w="437" w:type="pct"/>
          </w:tcPr>
          <w:p w14:paraId="2CBA6991" w14:textId="77777777" w:rsidR="00746184" w:rsidRPr="002000F6" w:rsidRDefault="008735D0"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 xml:space="preserve">? </w:t>
            </w:r>
            <w:r w:rsidR="00746184" w:rsidRPr="002000F6">
              <w:rPr>
                <w:rFonts w:asciiTheme="minorHAnsi" w:eastAsiaTheme="minorEastAsia" w:hAnsiTheme="minorHAnsi" w:cstheme="minorBidi"/>
                <w:b w:val="0"/>
                <w:color w:val="auto"/>
                <w:szCs w:val="22"/>
              </w:rPr>
              <w:t>%</w:t>
            </w:r>
          </w:p>
          <w:p w14:paraId="0670A19E"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tab</w:t>
            </w:r>
          </w:p>
        </w:tc>
        <w:tc>
          <w:tcPr>
            <w:tcW w:w="584" w:type="pct"/>
          </w:tcPr>
          <w:p w14:paraId="29F4D7E2"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Anden</w:t>
            </w:r>
          </w:p>
          <w:p w14:paraId="310AB665" w14:textId="77777777" w:rsidR="00746184" w:rsidRPr="002000F6" w:rsidRDefault="00F1475B"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A</w:t>
            </w:r>
            <w:r w:rsidR="00746184" w:rsidRPr="002000F6">
              <w:rPr>
                <w:rFonts w:asciiTheme="minorHAnsi" w:eastAsiaTheme="minorEastAsia" w:hAnsiTheme="minorHAnsi" w:cstheme="minorBidi"/>
                <w:b w:val="0"/>
                <w:color w:val="auto"/>
                <w:szCs w:val="22"/>
              </w:rPr>
              <w:t>flivning</w:t>
            </w:r>
          </w:p>
        </w:tc>
        <w:tc>
          <w:tcPr>
            <w:tcW w:w="401" w:type="pct"/>
          </w:tcPr>
          <w:p w14:paraId="03040A80"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4D1380C1"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2000F6">
              <w:rPr>
                <w:rFonts w:asciiTheme="minorHAnsi" w:eastAsiaTheme="minorEastAsia" w:hAnsiTheme="minorHAnsi" w:cstheme="minorBidi"/>
                <w:szCs w:val="22"/>
              </w:rPr>
              <w:t>Total</w:t>
            </w:r>
          </w:p>
        </w:tc>
        <w:tc>
          <w:tcPr>
            <w:tcW w:w="716" w:type="pct"/>
          </w:tcPr>
          <w:p w14:paraId="003F450F"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16490BDF" w14:textId="77777777" w:rsidR="00746184" w:rsidRPr="002000F6" w:rsidRDefault="00746184"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2000F6">
              <w:rPr>
                <w:rFonts w:asciiTheme="minorHAnsi" w:eastAsiaTheme="minorEastAsia" w:hAnsiTheme="minorHAnsi" w:cstheme="minorBidi"/>
                <w:szCs w:val="22"/>
              </w:rPr>
              <w:t>Rådgivning</w:t>
            </w:r>
          </w:p>
        </w:tc>
      </w:tr>
      <w:tr w:rsidR="008212AB" w:rsidRPr="002000F6" w14:paraId="68A50877" w14:textId="77777777" w:rsidTr="008212A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8" w:type="pct"/>
            <w:noWrap/>
          </w:tcPr>
          <w:p w14:paraId="750981BB" w14:textId="77777777" w:rsidR="008212AB" w:rsidRPr="002000F6" w:rsidRDefault="008212AB" w:rsidP="00066B5D">
            <w:pPr>
              <w:rPr>
                <w:rFonts w:asciiTheme="minorHAnsi" w:eastAsiaTheme="minorEastAsia" w:hAnsiTheme="minorHAnsi" w:cstheme="minorBidi"/>
                <w:b w:val="0"/>
                <w:color w:val="auto"/>
              </w:rPr>
            </w:pPr>
            <w:r w:rsidRPr="002000F6">
              <w:rPr>
                <w:rFonts w:asciiTheme="minorHAnsi" w:eastAsiaTheme="minorEastAsia" w:hAnsiTheme="minorHAnsi" w:cstheme="minorBidi"/>
                <w:b w:val="0"/>
                <w:color w:val="auto"/>
              </w:rPr>
              <w:t>201</w:t>
            </w:r>
            <w:r w:rsidR="003F099E">
              <w:rPr>
                <w:rFonts w:asciiTheme="minorHAnsi" w:eastAsiaTheme="minorEastAsia" w:hAnsiTheme="minorHAnsi" w:cstheme="minorBidi"/>
                <w:b w:val="0"/>
                <w:color w:val="auto"/>
              </w:rPr>
              <w:t>4</w:t>
            </w:r>
          </w:p>
        </w:tc>
        <w:tc>
          <w:tcPr>
            <w:tcW w:w="784" w:type="pct"/>
          </w:tcPr>
          <w:p w14:paraId="08C2DBEE" w14:textId="77777777" w:rsidR="008212AB" w:rsidRPr="002000F6" w:rsidRDefault="003F099E"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843" w:type="pct"/>
          </w:tcPr>
          <w:p w14:paraId="367BDBDB" w14:textId="77777777" w:rsidR="008212AB" w:rsidRPr="002000F6" w:rsidRDefault="009B15E9" w:rsidP="00F259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07" w:type="pct"/>
          </w:tcPr>
          <w:p w14:paraId="48AE2258" w14:textId="77777777" w:rsidR="008212AB" w:rsidRPr="002000F6" w:rsidRDefault="000D6B29" w:rsidP="00F259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11</w:t>
            </w:r>
            <w:r w:rsidR="003F099E">
              <w:rPr>
                <w:rFonts w:asciiTheme="minorHAnsi" w:eastAsiaTheme="minorEastAsia" w:hAnsiTheme="minorHAnsi" w:cstheme="minorBidi"/>
                <w:color w:val="auto"/>
              </w:rPr>
              <w:t>2</w:t>
            </w:r>
          </w:p>
        </w:tc>
        <w:tc>
          <w:tcPr>
            <w:tcW w:w="437" w:type="pct"/>
          </w:tcPr>
          <w:p w14:paraId="5B68763D" w14:textId="77777777" w:rsidR="008212AB" w:rsidRPr="002000F6" w:rsidRDefault="008212AB" w:rsidP="00F259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584" w:type="pct"/>
          </w:tcPr>
          <w:p w14:paraId="518CEE0E" w14:textId="77777777" w:rsidR="008212AB" w:rsidRPr="002000F6" w:rsidRDefault="008212A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01" w:type="pct"/>
          </w:tcPr>
          <w:p w14:paraId="26957E82" w14:textId="77777777" w:rsidR="008212AB" w:rsidRPr="002000F6" w:rsidRDefault="000D6B2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11</w:t>
            </w:r>
            <w:r w:rsidR="003F099E">
              <w:rPr>
                <w:rFonts w:asciiTheme="minorHAnsi" w:eastAsiaTheme="minorEastAsia" w:hAnsiTheme="minorHAnsi" w:cstheme="minorBidi"/>
              </w:rPr>
              <w:t>5</w:t>
            </w:r>
          </w:p>
        </w:tc>
        <w:tc>
          <w:tcPr>
            <w:tcW w:w="716" w:type="pct"/>
          </w:tcPr>
          <w:p w14:paraId="5022F886" w14:textId="77777777" w:rsidR="008212AB" w:rsidRPr="002000F6" w:rsidRDefault="008212A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r w:rsidR="008212AB" w:rsidRPr="002000F6" w14:paraId="2E6E2FAF" w14:textId="77777777" w:rsidTr="008212AB">
        <w:trPr>
          <w:trHeight w:val="315"/>
        </w:trPr>
        <w:tc>
          <w:tcPr>
            <w:cnfStyle w:val="001000000000" w:firstRow="0" w:lastRow="0" w:firstColumn="1" w:lastColumn="0" w:oddVBand="0" w:evenVBand="0" w:oddHBand="0" w:evenHBand="0" w:firstRowFirstColumn="0" w:firstRowLastColumn="0" w:lastRowFirstColumn="0" w:lastRowLastColumn="0"/>
            <w:tcW w:w="628" w:type="pct"/>
            <w:noWrap/>
          </w:tcPr>
          <w:p w14:paraId="1E42AAA1" w14:textId="77777777" w:rsidR="008212AB" w:rsidRPr="002000F6" w:rsidRDefault="008212AB" w:rsidP="00066B5D">
            <w:pPr>
              <w:rPr>
                <w:rFonts w:asciiTheme="minorHAnsi" w:eastAsiaTheme="minorEastAsia" w:hAnsiTheme="minorHAnsi" w:cstheme="minorBidi"/>
                <w:b w:val="0"/>
                <w:color w:val="auto"/>
              </w:rPr>
            </w:pPr>
            <w:r w:rsidRPr="002000F6">
              <w:rPr>
                <w:rFonts w:asciiTheme="minorHAnsi" w:eastAsiaTheme="minorEastAsia" w:hAnsiTheme="minorHAnsi" w:cstheme="minorBidi"/>
                <w:b w:val="0"/>
                <w:color w:val="auto"/>
              </w:rPr>
              <w:t>201</w:t>
            </w:r>
            <w:r w:rsidR="003F099E">
              <w:rPr>
                <w:rFonts w:asciiTheme="minorHAnsi" w:eastAsiaTheme="minorEastAsia" w:hAnsiTheme="minorHAnsi" w:cstheme="minorBidi"/>
                <w:b w:val="0"/>
                <w:color w:val="auto"/>
              </w:rPr>
              <w:t>5</w:t>
            </w:r>
          </w:p>
        </w:tc>
        <w:tc>
          <w:tcPr>
            <w:tcW w:w="784" w:type="pct"/>
          </w:tcPr>
          <w:p w14:paraId="7E989D74" w14:textId="77777777" w:rsidR="008212AB" w:rsidRPr="002000F6" w:rsidRDefault="003F099E"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843" w:type="pct"/>
          </w:tcPr>
          <w:p w14:paraId="3FDD6978" w14:textId="77777777" w:rsidR="008212AB" w:rsidRPr="002000F6" w:rsidRDefault="009B15E9" w:rsidP="00F259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07" w:type="pct"/>
          </w:tcPr>
          <w:p w14:paraId="2C240406" w14:textId="77777777" w:rsidR="008212AB" w:rsidRPr="002000F6" w:rsidRDefault="003F099E" w:rsidP="00F259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82</w:t>
            </w:r>
          </w:p>
        </w:tc>
        <w:tc>
          <w:tcPr>
            <w:tcW w:w="437" w:type="pct"/>
          </w:tcPr>
          <w:p w14:paraId="7CBB3570" w14:textId="77777777" w:rsidR="008212AB" w:rsidRPr="002000F6" w:rsidRDefault="008212AB" w:rsidP="00F259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584" w:type="pct"/>
          </w:tcPr>
          <w:p w14:paraId="34FE1308" w14:textId="77777777" w:rsidR="008212AB" w:rsidRPr="002000F6" w:rsidRDefault="008212AB"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01" w:type="pct"/>
          </w:tcPr>
          <w:p w14:paraId="122CF1CD" w14:textId="77777777" w:rsidR="008212AB" w:rsidRPr="002000F6" w:rsidRDefault="003F099E"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82</w:t>
            </w:r>
          </w:p>
        </w:tc>
        <w:tc>
          <w:tcPr>
            <w:tcW w:w="716" w:type="pct"/>
          </w:tcPr>
          <w:p w14:paraId="6144FB6B" w14:textId="77777777" w:rsidR="008212AB" w:rsidRPr="002000F6" w:rsidRDefault="008212AB"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r w:rsidR="008212AB" w:rsidRPr="002000F6" w14:paraId="4D2288B5" w14:textId="77777777" w:rsidTr="008212A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8" w:type="pct"/>
            <w:noWrap/>
          </w:tcPr>
          <w:p w14:paraId="5428110F" w14:textId="77777777" w:rsidR="008212AB" w:rsidRPr="002000F6" w:rsidRDefault="008212AB" w:rsidP="00066B5D">
            <w:pPr>
              <w:rPr>
                <w:rFonts w:asciiTheme="minorHAnsi" w:eastAsiaTheme="minorEastAsia" w:hAnsiTheme="minorHAnsi" w:cstheme="minorBidi"/>
                <w:b w:val="0"/>
                <w:color w:val="auto"/>
              </w:rPr>
            </w:pPr>
            <w:r w:rsidRPr="002000F6">
              <w:rPr>
                <w:rFonts w:asciiTheme="minorHAnsi" w:eastAsiaTheme="minorEastAsia" w:hAnsiTheme="minorHAnsi" w:cstheme="minorBidi"/>
                <w:b w:val="0"/>
                <w:color w:val="auto"/>
              </w:rPr>
              <w:t>201</w:t>
            </w:r>
            <w:r w:rsidR="003F099E">
              <w:rPr>
                <w:rFonts w:asciiTheme="minorHAnsi" w:eastAsiaTheme="minorEastAsia" w:hAnsiTheme="minorHAnsi" w:cstheme="minorBidi"/>
                <w:b w:val="0"/>
                <w:color w:val="auto"/>
              </w:rPr>
              <w:t>6</w:t>
            </w:r>
          </w:p>
        </w:tc>
        <w:tc>
          <w:tcPr>
            <w:tcW w:w="784" w:type="pct"/>
          </w:tcPr>
          <w:p w14:paraId="2023470A" w14:textId="77777777" w:rsidR="008212AB" w:rsidRPr="002000F6" w:rsidRDefault="00E8052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3</w:t>
            </w:r>
          </w:p>
        </w:tc>
        <w:tc>
          <w:tcPr>
            <w:tcW w:w="843" w:type="pct"/>
          </w:tcPr>
          <w:p w14:paraId="04691544" w14:textId="77777777" w:rsidR="008212AB" w:rsidRPr="002000F6" w:rsidRDefault="009B15E9" w:rsidP="00F259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607" w:type="pct"/>
          </w:tcPr>
          <w:p w14:paraId="4E6181E2" w14:textId="77777777" w:rsidR="008212AB" w:rsidRPr="002000F6" w:rsidRDefault="00DF62A7" w:rsidP="000D6B29">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437" w:type="pct"/>
          </w:tcPr>
          <w:p w14:paraId="0DC08D14" w14:textId="77777777" w:rsidR="008212AB" w:rsidRPr="002000F6" w:rsidRDefault="008212AB" w:rsidP="00F259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584" w:type="pct"/>
          </w:tcPr>
          <w:p w14:paraId="2EF0E0CE" w14:textId="77777777" w:rsidR="008212AB" w:rsidRPr="002000F6" w:rsidRDefault="008212A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01" w:type="pct"/>
          </w:tcPr>
          <w:p w14:paraId="69ECFC93" w14:textId="77777777" w:rsidR="008212AB" w:rsidRPr="002000F6" w:rsidRDefault="002616BD"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716" w:type="pct"/>
          </w:tcPr>
          <w:p w14:paraId="43A28704" w14:textId="77777777" w:rsidR="008212AB" w:rsidRPr="002000F6" w:rsidRDefault="008212A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r w:rsidR="009B15E9" w:rsidRPr="002000F6" w14:paraId="6C29D048" w14:textId="77777777" w:rsidTr="008212AB">
        <w:trPr>
          <w:trHeight w:val="315"/>
        </w:trPr>
        <w:tc>
          <w:tcPr>
            <w:cnfStyle w:val="001000000000" w:firstRow="0" w:lastRow="0" w:firstColumn="1" w:lastColumn="0" w:oddVBand="0" w:evenVBand="0" w:oddHBand="0" w:evenHBand="0" w:firstRowFirstColumn="0" w:firstRowLastColumn="0" w:lastRowFirstColumn="0" w:lastRowLastColumn="0"/>
            <w:tcW w:w="628" w:type="pct"/>
            <w:noWrap/>
          </w:tcPr>
          <w:p w14:paraId="40E362F1" w14:textId="77777777" w:rsidR="009B15E9" w:rsidRPr="009B15E9" w:rsidRDefault="009B15E9" w:rsidP="00066B5D">
            <w:pPr>
              <w:rPr>
                <w:rFonts w:asciiTheme="minorHAnsi" w:eastAsiaTheme="minorEastAsia" w:hAnsiTheme="minorHAnsi" w:cstheme="minorBidi"/>
                <w:b w:val="0"/>
              </w:rPr>
            </w:pPr>
            <w:r>
              <w:rPr>
                <w:rFonts w:asciiTheme="minorHAnsi" w:eastAsiaTheme="minorEastAsia" w:hAnsiTheme="minorHAnsi" w:cstheme="minorBidi"/>
                <w:b w:val="0"/>
              </w:rPr>
              <w:t>i alt</w:t>
            </w:r>
          </w:p>
        </w:tc>
        <w:tc>
          <w:tcPr>
            <w:tcW w:w="784" w:type="pct"/>
          </w:tcPr>
          <w:p w14:paraId="6E57938F" w14:textId="77777777" w:rsidR="009B15E9" w:rsidRDefault="00E80520"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6</w:t>
            </w:r>
          </w:p>
        </w:tc>
        <w:tc>
          <w:tcPr>
            <w:tcW w:w="843" w:type="pct"/>
          </w:tcPr>
          <w:p w14:paraId="30C4D740" w14:textId="77777777" w:rsidR="009B15E9" w:rsidRDefault="009B15E9" w:rsidP="00F259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607" w:type="pct"/>
          </w:tcPr>
          <w:p w14:paraId="0A82874C" w14:textId="77777777" w:rsidR="009B15E9" w:rsidRDefault="00DF62A7" w:rsidP="002E2A2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437" w:type="pct"/>
          </w:tcPr>
          <w:p w14:paraId="4C8D284E" w14:textId="77777777" w:rsidR="009B15E9" w:rsidRDefault="009B15E9" w:rsidP="00F259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584" w:type="pct"/>
          </w:tcPr>
          <w:p w14:paraId="5E500CEE" w14:textId="77777777" w:rsidR="009B15E9" w:rsidRDefault="009B15E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01" w:type="pct"/>
          </w:tcPr>
          <w:p w14:paraId="400CE313" w14:textId="77777777" w:rsidR="009B15E9" w:rsidRDefault="00DF62A7"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716" w:type="pct"/>
          </w:tcPr>
          <w:p w14:paraId="497016DC" w14:textId="77777777" w:rsidR="009B15E9" w:rsidRDefault="009B15E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bl>
    <w:p w14:paraId="1B285C9C" w14:textId="77777777" w:rsidR="00CD4DD4" w:rsidRPr="002000F6" w:rsidRDefault="00CD4DD4" w:rsidP="004613F9">
      <w:pPr>
        <w:spacing w:before="240"/>
      </w:pPr>
    </w:p>
    <w:tbl>
      <w:tblPr>
        <w:tblStyle w:val="Lysskygge-farve1"/>
        <w:tblW w:w="4646" w:type="pct"/>
        <w:tblLook w:val="04A0" w:firstRow="1" w:lastRow="0" w:firstColumn="1" w:lastColumn="0" w:noHBand="0" w:noVBand="1"/>
      </w:tblPr>
      <w:tblGrid>
        <w:gridCol w:w="1568"/>
        <w:gridCol w:w="1484"/>
        <w:gridCol w:w="1600"/>
        <w:gridCol w:w="807"/>
        <w:gridCol w:w="1094"/>
        <w:gridCol w:w="734"/>
        <w:gridCol w:w="1353"/>
      </w:tblGrid>
      <w:tr w:rsidR="00EC71B7" w:rsidRPr="002000F6" w14:paraId="2C848913" w14:textId="77777777" w:rsidTr="00EC71B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 w:type="pct"/>
            <w:noWrap/>
          </w:tcPr>
          <w:p w14:paraId="76758949" w14:textId="77777777" w:rsidR="00EC71B7" w:rsidRPr="002000F6" w:rsidRDefault="00BB16F7" w:rsidP="00BB16F7">
            <w:pPr>
              <w:rPr>
                <w:rFonts w:asciiTheme="minorHAnsi" w:eastAsiaTheme="minorEastAsia" w:hAnsiTheme="minorHAnsi" w:cstheme="minorBidi"/>
                <w:color w:val="auto"/>
                <w:szCs w:val="22"/>
              </w:rPr>
            </w:pPr>
            <w:r w:rsidRPr="002000F6">
              <w:rPr>
                <w:rFonts w:asciiTheme="minorHAnsi" w:eastAsiaTheme="minorEastAsia" w:hAnsiTheme="minorHAnsi" w:cstheme="minorBidi"/>
                <w:color w:val="auto"/>
                <w:szCs w:val="22"/>
              </w:rPr>
              <w:t>Øst</w:t>
            </w:r>
            <w:r w:rsidR="00EC71B7" w:rsidRPr="002000F6">
              <w:rPr>
                <w:rFonts w:asciiTheme="minorHAnsi" w:eastAsiaTheme="minorEastAsia" w:hAnsiTheme="minorHAnsi" w:cstheme="minorBidi"/>
                <w:color w:val="auto"/>
                <w:szCs w:val="22"/>
              </w:rPr>
              <w:t xml:space="preserve"> Gr</w:t>
            </w:r>
            <w:r w:rsidRPr="002000F6">
              <w:rPr>
                <w:rFonts w:asciiTheme="minorHAnsi" w:eastAsiaTheme="minorEastAsia" w:hAnsiTheme="minorHAnsi" w:cstheme="minorBidi"/>
                <w:color w:val="auto"/>
                <w:szCs w:val="22"/>
              </w:rPr>
              <w:t>ø</w:t>
            </w:r>
            <w:r w:rsidR="00EC71B7" w:rsidRPr="002000F6">
              <w:rPr>
                <w:rFonts w:asciiTheme="minorHAnsi" w:eastAsiaTheme="minorEastAsia" w:hAnsiTheme="minorHAnsi" w:cstheme="minorBidi"/>
                <w:color w:val="auto"/>
                <w:szCs w:val="22"/>
              </w:rPr>
              <w:t>nland</w:t>
            </w:r>
          </w:p>
        </w:tc>
        <w:tc>
          <w:tcPr>
            <w:tcW w:w="859" w:type="pct"/>
          </w:tcPr>
          <w:p w14:paraId="1620B3B4" w14:textId="77777777" w:rsidR="00EC71B7" w:rsidRPr="002000F6"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Rapporteret</w:t>
            </w:r>
          </w:p>
          <w:p w14:paraId="7F9AAF5E" w14:textId="77777777" w:rsidR="00EC71B7" w:rsidRPr="002000F6"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fangst</w:t>
            </w:r>
          </w:p>
        </w:tc>
        <w:tc>
          <w:tcPr>
            <w:tcW w:w="926" w:type="pct"/>
          </w:tcPr>
          <w:p w14:paraId="6C46A514" w14:textId="77777777" w:rsidR="00EC71B7" w:rsidRPr="002000F6"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Urapporteret</w:t>
            </w:r>
          </w:p>
          <w:p w14:paraId="6D37DAE3" w14:textId="77777777" w:rsidR="00EC71B7" w:rsidRPr="002000F6"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fangst</w:t>
            </w:r>
          </w:p>
        </w:tc>
        <w:tc>
          <w:tcPr>
            <w:tcW w:w="467" w:type="pct"/>
          </w:tcPr>
          <w:p w14:paraId="12D52297" w14:textId="77777777" w:rsidR="00EC71B7" w:rsidRPr="002000F6" w:rsidRDefault="008735D0"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 xml:space="preserve">? </w:t>
            </w:r>
            <w:r w:rsidR="00EC71B7" w:rsidRPr="002000F6">
              <w:rPr>
                <w:rFonts w:asciiTheme="minorHAnsi" w:eastAsiaTheme="minorEastAsia" w:hAnsiTheme="minorHAnsi" w:cstheme="minorBidi"/>
                <w:b w:val="0"/>
                <w:color w:val="auto"/>
                <w:szCs w:val="22"/>
              </w:rPr>
              <w:t>%</w:t>
            </w:r>
          </w:p>
          <w:p w14:paraId="159CB288" w14:textId="77777777" w:rsidR="00EC71B7" w:rsidRPr="002000F6"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tab</w:t>
            </w:r>
          </w:p>
        </w:tc>
        <w:tc>
          <w:tcPr>
            <w:tcW w:w="633" w:type="pct"/>
          </w:tcPr>
          <w:p w14:paraId="3779BD4F" w14:textId="77777777" w:rsidR="00EC71B7" w:rsidRPr="002000F6"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Anden</w:t>
            </w:r>
          </w:p>
          <w:p w14:paraId="5460587D" w14:textId="77777777" w:rsidR="00EC71B7" w:rsidRPr="002000F6" w:rsidRDefault="00F1475B"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val="0"/>
                <w:color w:val="auto"/>
                <w:szCs w:val="22"/>
              </w:rPr>
            </w:pPr>
            <w:r w:rsidRPr="002000F6">
              <w:rPr>
                <w:rFonts w:asciiTheme="minorHAnsi" w:eastAsiaTheme="minorEastAsia" w:hAnsiTheme="minorHAnsi" w:cstheme="minorBidi"/>
                <w:b w:val="0"/>
                <w:color w:val="auto"/>
                <w:szCs w:val="22"/>
              </w:rPr>
              <w:t>A</w:t>
            </w:r>
            <w:r w:rsidR="00EC71B7" w:rsidRPr="002000F6">
              <w:rPr>
                <w:rFonts w:asciiTheme="minorHAnsi" w:eastAsiaTheme="minorEastAsia" w:hAnsiTheme="minorHAnsi" w:cstheme="minorBidi"/>
                <w:b w:val="0"/>
                <w:color w:val="auto"/>
                <w:szCs w:val="22"/>
              </w:rPr>
              <w:t>flivning</w:t>
            </w:r>
          </w:p>
        </w:tc>
        <w:tc>
          <w:tcPr>
            <w:tcW w:w="425" w:type="pct"/>
          </w:tcPr>
          <w:p w14:paraId="0F2F969E" w14:textId="77777777" w:rsidR="00EC71B7" w:rsidRPr="002000F6"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2FB1F1C2" w14:textId="77777777" w:rsidR="00EC71B7" w:rsidRPr="002000F6"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2000F6">
              <w:rPr>
                <w:rFonts w:asciiTheme="minorHAnsi" w:eastAsiaTheme="minorEastAsia" w:hAnsiTheme="minorHAnsi" w:cstheme="minorBidi"/>
                <w:szCs w:val="22"/>
              </w:rPr>
              <w:t>Total</w:t>
            </w:r>
          </w:p>
        </w:tc>
        <w:tc>
          <w:tcPr>
            <w:tcW w:w="783" w:type="pct"/>
          </w:tcPr>
          <w:p w14:paraId="58946875" w14:textId="77777777" w:rsidR="00EC71B7" w:rsidRPr="002000F6"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p>
          <w:p w14:paraId="50782732" w14:textId="77777777" w:rsidR="00EC71B7" w:rsidRPr="002000F6" w:rsidRDefault="00EC71B7" w:rsidP="00066B5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Cs w:val="22"/>
              </w:rPr>
            </w:pPr>
            <w:r w:rsidRPr="002000F6">
              <w:rPr>
                <w:rFonts w:asciiTheme="minorHAnsi" w:eastAsiaTheme="minorEastAsia" w:hAnsiTheme="minorHAnsi" w:cstheme="minorBidi"/>
                <w:szCs w:val="22"/>
              </w:rPr>
              <w:t>Rådgivning</w:t>
            </w:r>
          </w:p>
        </w:tc>
      </w:tr>
      <w:tr w:rsidR="00EC71B7" w:rsidRPr="002000F6" w14:paraId="2C743B7E" w14:textId="77777777" w:rsidTr="00EC71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 w:type="pct"/>
            <w:noWrap/>
          </w:tcPr>
          <w:p w14:paraId="738B648F" w14:textId="77777777" w:rsidR="00EC71B7" w:rsidRPr="002000F6" w:rsidRDefault="00EC71B7" w:rsidP="00066B5D">
            <w:pPr>
              <w:rPr>
                <w:rFonts w:asciiTheme="minorHAnsi" w:eastAsiaTheme="minorEastAsia" w:hAnsiTheme="minorHAnsi" w:cstheme="minorBidi"/>
                <w:b w:val="0"/>
                <w:color w:val="auto"/>
              </w:rPr>
            </w:pPr>
            <w:r w:rsidRPr="002000F6">
              <w:rPr>
                <w:rFonts w:asciiTheme="minorHAnsi" w:eastAsiaTheme="minorEastAsia" w:hAnsiTheme="minorHAnsi" w:cstheme="minorBidi"/>
                <w:b w:val="0"/>
                <w:color w:val="auto"/>
              </w:rPr>
              <w:t>201</w:t>
            </w:r>
            <w:r w:rsidR="003F099E">
              <w:rPr>
                <w:rFonts w:asciiTheme="minorHAnsi" w:eastAsiaTheme="minorEastAsia" w:hAnsiTheme="minorHAnsi" w:cstheme="minorBidi"/>
                <w:b w:val="0"/>
                <w:color w:val="auto"/>
              </w:rPr>
              <w:t>4</w:t>
            </w:r>
          </w:p>
        </w:tc>
        <w:tc>
          <w:tcPr>
            <w:tcW w:w="859" w:type="pct"/>
          </w:tcPr>
          <w:p w14:paraId="459DA6CD" w14:textId="77777777" w:rsidR="00EC71B7" w:rsidRPr="002000F6" w:rsidRDefault="003F099E"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65</w:t>
            </w:r>
          </w:p>
        </w:tc>
        <w:tc>
          <w:tcPr>
            <w:tcW w:w="926" w:type="pct"/>
          </w:tcPr>
          <w:p w14:paraId="4C14F331" w14:textId="77777777" w:rsidR="00EC71B7" w:rsidRPr="002000F6" w:rsidRDefault="009B15E9"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67" w:type="pct"/>
          </w:tcPr>
          <w:p w14:paraId="5AC28E25" w14:textId="77777777" w:rsidR="00EC71B7" w:rsidRPr="002000F6" w:rsidRDefault="008212A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633" w:type="pct"/>
          </w:tcPr>
          <w:p w14:paraId="74D3F821" w14:textId="77777777" w:rsidR="00EC71B7" w:rsidRPr="002000F6" w:rsidRDefault="003F099E"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1</w:t>
            </w:r>
          </w:p>
        </w:tc>
        <w:tc>
          <w:tcPr>
            <w:tcW w:w="425" w:type="pct"/>
          </w:tcPr>
          <w:p w14:paraId="02E31044" w14:textId="77777777" w:rsidR="00EC71B7" w:rsidRPr="002000F6" w:rsidRDefault="008212A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6</w:t>
            </w:r>
            <w:r w:rsidR="003F099E">
              <w:rPr>
                <w:rFonts w:asciiTheme="minorHAnsi" w:eastAsiaTheme="minorEastAsia" w:hAnsiTheme="minorHAnsi" w:cstheme="minorBidi"/>
              </w:rPr>
              <w:t>6</w:t>
            </w:r>
          </w:p>
        </w:tc>
        <w:tc>
          <w:tcPr>
            <w:tcW w:w="783" w:type="pct"/>
          </w:tcPr>
          <w:p w14:paraId="5BF3A0FF" w14:textId="77777777" w:rsidR="00EC71B7" w:rsidRPr="002000F6" w:rsidRDefault="00AF3BED"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r w:rsidR="00EC71B7" w:rsidRPr="002000F6" w14:paraId="0074CB1C" w14:textId="77777777" w:rsidTr="00EC71B7">
        <w:trPr>
          <w:trHeight w:val="315"/>
        </w:trPr>
        <w:tc>
          <w:tcPr>
            <w:cnfStyle w:val="001000000000" w:firstRow="0" w:lastRow="0" w:firstColumn="1" w:lastColumn="0" w:oddVBand="0" w:evenVBand="0" w:oddHBand="0" w:evenHBand="0" w:firstRowFirstColumn="0" w:firstRowLastColumn="0" w:lastRowFirstColumn="0" w:lastRowLastColumn="0"/>
            <w:tcW w:w="907" w:type="pct"/>
            <w:noWrap/>
          </w:tcPr>
          <w:p w14:paraId="021B2DFD" w14:textId="77777777" w:rsidR="00EC71B7" w:rsidRPr="002000F6" w:rsidRDefault="00EC71B7" w:rsidP="00066B5D">
            <w:pPr>
              <w:rPr>
                <w:rFonts w:asciiTheme="minorHAnsi" w:eastAsiaTheme="minorEastAsia" w:hAnsiTheme="minorHAnsi" w:cstheme="minorBidi"/>
                <w:b w:val="0"/>
                <w:color w:val="auto"/>
              </w:rPr>
            </w:pPr>
            <w:r w:rsidRPr="002000F6">
              <w:rPr>
                <w:rFonts w:asciiTheme="minorHAnsi" w:eastAsiaTheme="minorEastAsia" w:hAnsiTheme="minorHAnsi" w:cstheme="minorBidi"/>
                <w:b w:val="0"/>
                <w:color w:val="auto"/>
              </w:rPr>
              <w:t>201</w:t>
            </w:r>
            <w:r w:rsidR="003F099E">
              <w:rPr>
                <w:rFonts w:asciiTheme="minorHAnsi" w:eastAsiaTheme="minorEastAsia" w:hAnsiTheme="minorHAnsi" w:cstheme="minorBidi"/>
                <w:b w:val="0"/>
                <w:color w:val="auto"/>
              </w:rPr>
              <w:t>5</w:t>
            </w:r>
          </w:p>
        </w:tc>
        <w:tc>
          <w:tcPr>
            <w:tcW w:w="859" w:type="pct"/>
          </w:tcPr>
          <w:p w14:paraId="67BFF4E3" w14:textId="77777777" w:rsidR="00EC71B7" w:rsidRPr="002000F6" w:rsidRDefault="008212AB"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w:t>
            </w:r>
            <w:r w:rsidR="003F099E">
              <w:rPr>
                <w:rFonts w:asciiTheme="minorHAnsi" w:eastAsiaTheme="minorEastAsia" w:hAnsiTheme="minorHAnsi" w:cstheme="minorBidi"/>
                <w:color w:val="auto"/>
              </w:rPr>
              <w:t>4</w:t>
            </w:r>
          </w:p>
        </w:tc>
        <w:tc>
          <w:tcPr>
            <w:tcW w:w="926" w:type="pct"/>
          </w:tcPr>
          <w:p w14:paraId="4A22883A" w14:textId="77777777" w:rsidR="00EC71B7" w:rsidRPr="002000F6" w:rsidRDefault="009B15E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67" w:type="pct"/>
          </w:tcPr>
          <w:p w14:paraId="29D0E8CC" w14:textId="77777777" w:rsidR="00EC71B7" w:rsidRPr="002000F6" w:rsidRDefault="008212AB"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633" w:type="pct"/>
          </w:tcPr>
          <w:p w14:paraId="4E7F97C6" w14:textId="77777777" w:rsidR="00EC71B7" w:rsidRPr="002000F6" w:rsidRDefault="003F099E"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w:t>
            </w:r>
          </w:p>
        </w:tc>
        <w:tc>
          <w:tcPr>
            <w:tcW w:w="425" w:type="pct"/>
          </w:tcPr>
          <w:p w14:paraId="0FEE7394" w14:textId="77777777" w:rsidR="00EC71B7" w:rsidRPr="002000F6" w:rsidRDefault="003F099E"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71</w:t>
            </w:r>
          </w:p>
        </w:tc>
        <w:tc>
          <w:tcPr>
            <w:tcW w:w="783" w:type="pct"/>
          </w:tcPr>
          <w:p w14:paraId="49D4B6C7" w14:textId="77777777" w:rsidR="00EC71B7" w:rsidRPr="002000F6" w:rsidRDefault="00AF3BED"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r w:rsidR="00EC71B7" w:rsidRPr="002000F6" w14:paraId="5922F093" w14:textId="77777777" w:rsidTr="00EC71B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07" w:type="pct"/>
            <w:noWrap/>
          </w:tcPr>
          <w:p w14:paraId="1BA0AA58" w14:textId="77777777" w:rsidR="00EC71B7" w:rsidRPr="002000F6" w:rsidRDefault="00EC71B7" w:rsidP="00066B5D">
            <w:pPr>
              <w:rPr>
                <w:rFonts w:asciiTheme="minorHAnsi" w:eastAsiaTheme="minorEastAsia" w:hAnsiTheme="minorHAnsi" w:cstheme="minorBidi"/>
                <w:b w:val="0"/>
                <w:color w:val="auto"/>
              </w:rPr>
            </w:pPr>
            <w:r w:rsidRPr="002000F6">
              <w:rPr>
                <w:rFonts w:asciiTheme="minorHAnsi" w:eastAsiaTheme="minorEastAsia" w:hAnsiTheme="minorHAnsi" w:cstheme="minorBidi"/>
                <w:b w:val="0"/>
                <w:color w:val="auto"/>
              </w:rPr>
              <w:t>201</w:t>
            </w:r>
            <w:r w:rsidR="003F099E">
              <w:rPr>
                <w:rFonts w:asciiTheme="minorHAnsi" w:eastAsiaTheme="minorEastAsia" w:hAnsiTheme="minorHAnsi" w:cstheme="minorBidi"/>
                <w:b w:val="0"/>
                <w:color w:val="auto"/>
              </w:rPr>
              <w:t>6</w:t>
            </w:r>
          </w:p>
        </w:tc>
        <w:tc>
          <w:tcPr>
            <w:tcW w:w="859" w:type="pct"/>
          </w:tcPr>
          <w:p w14:paraId="7DB3BC25" w14:textId="77777777" w:rsidR="00EC71B7" w:rsidRPr="002000F6" w:rsidRDefault="00E80520"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64</w:t>
            </w:r>
          </w:p>
        </w:tc>
        <w:tc>
          <w:tcPr>
            <w:tcW w:w="926" w:type="pct"/>
          </w:tcPr>
          <w:p w14:paraId="7345DC66" w14:textId="77777777" w:rsidR="00EC71B7" w:rsidRPr="002000F6" w:rsidRDefault="002616BD"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0</w:t>
            </w:r>
          </w:p>
        </w:tc>
        <w:tc>
          <w:tcPr>
            <w:tcW w:w="467" w:type="pct"/>
          </w:tcPr>
          <w:p w14:paraId="5A252E83" w14:textId="77777777" w:rsidR="00EC71B7" w:rsidRPr="002000F6" w:rsidRDefault="008212AB"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t>
            </w:r>
          </w:p>
        </w:tc>
        <w:tc>
          <w:tcPr>
            <w:tcW w:w="633" w:type="pct"/>
          </w:tcPr>
          <w:p w14:paraId="5F76425C" w14:textId="77777777" w:rsidR="00EC71B7" w:rsidRPr="002000F6" w:rsidRDefault="0011671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7</w:t>
            </w:r>
          </w:p>
        </w:tc>
        <w:tc>
          <w:tcPr>
            <w:tcW w:w="425" w:type="pct"/>
          </w:tcPr>
          <w:p w14:paraId="56DCBD67" w14:textId="77777777" w:rsidR="00EC71B7" w:rsidRPr="002000F6" w:rsidRDefault="0011671A"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71</w:t>
            </w:r>
          </w:p>
        </w:tc>
        <w:tc>
          <w:tcPr>
            <w:tcW w:w="783" w:type="pct"/>
          </w:tcPr>
          <w:p w14:paraId="6D5B0D87" w14:textId="77777777" w:rsidR="00EC71B7" w:rsidRPr="002000F6" w:rsidRDefault="00AF3BED" w:rsidP="00066B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r w:rsidR="009B15E9" w:rsidRPr="002000F6" w14:paraId="78FABD2A" w14:textId="77777777" w:rsidTr="00EC71B7">
        <w:trPr>
          <w:trHeight w:val="315"/>
        </w:trPr>
        <w:tc>
          <w:tcPr>
            <w:cnfStyle w:val="001000000000" w:firstRow="0" w:lastRow="0" w:firstColumn="1" w:lastColumn="0" w:oddVBand="0" w:evenVBand="0" w:oddHBand="0" w:evenHBand="0" w:firstRowFirstColumn="0" w:firstRowLastColumn="0" w:lastRowFirstColumn="0" w:lastRowLastColumn="0"/>
            <w:tcW w:w="907" w:type="pct"/>
            <w:noWrap/>
          </w:tcPr>
          <w:p w14:paraId="2C740D0C" w14:textId="77777777" w:rsidR="009B15E9" w:rsidRPr="009B15E9" w:rsidRDefault="009B15E9" w:rsidP="00066B5D">
            <w:pPr>
              <w:rPr>
                <w:rFonts w:asciiTheme="minorHAnsi" w:eastAsiaTheme="minorEastAsia" w:hAnsiTheme="minorHAnsi" w:cstheme="minorBidi"/>
                <w:b w:val="0"/>
              </w:rPr>
            </w:pPr>
            <w:r>
              <w:rPr>
                <w:rFonts w:asciiTheme="minorHAnsi" w:eastAsiaTheme="minorEastAsia" w:hAnsiTheme="minorHAnsi" w:cstheme="minorBidi"/>
                <w:b w:val="0"/>
              </w:rPr>
              <w:t>i alt</w:t>
            </w:r>
          </w:p>
        </w:tc>
        <w:tc>
          <w:tcPr>
            <w:tcW w:w="859" w:type="pct"/>
          </w:tcPr>
          <w:p w14:paraId="7B25506F" w14:textId="77777777" w:rsidR="009B15E9" w:rsidRDefault="00E80520"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193</w:t>
            </w:r>
          </w:p>
        </w:tc>
        <w:tc>
          <w:tcPr>
            <w:tcW w:w="926" w:type="pct"/>
          </w:tcPr>
          <w:p w14:paraId="618BB2AD" w14:textId="77777777" w:rsidR="009B15E9" w:rsidRDefault="009B15E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0</w:t>
            </w:r>
          </w:p>
        </w:tc>
        <w:tc>
          <w:tcPr>
            <w:tcW w:w="467" w:type="pct"/>
          </w:tcPr>
          <w:p w14:paraId="47527688" w14:textId="77777777" w:rsidR="009B15E9" w:rsidRDefault="009B15E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t>
            </w:r>
          </w:p>
        </w:tc>
        <w:tc>
          <w:tcPr>
            <w:tcW w:w="633" w:type="pct"/>
          </w:tcPr>
          <w:p w14:paraId="419A1786" w14:textId="77777777" w:rsidR="009B15E9" w:rsidRDefault="00871F80"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15</w:t>
            </w:r>
          </w:p>
        </w:tc>
        <w:tc>
          <w:tcPr>
            <w:tcW w:w="425" w:type="pct"/>
          </w:tcPr>
          <w:p w14:paraId="4F853A88" w14:textId="77777777" w:rsidR="009B15E9" w:rsidRDefault="00871F80"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208</w:t>
            </w:r>
          </w:p>
        </w:tc>
        <w:tc>
          <w:tcPr>
            <w:tcW w:w="783" w:type="pct"/>
          </w:tcPr>
          <w:p w14:paraId="45235EDA" w14:textId="77777777" w:rsidR="009B15E9" w:rsidRDefault="009B15E9" w:rsidP="00066B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Ingen</w:t>
            </w:r>
          </w:p>
        </w:tc>
      </w:tr>
    </w:tbl>
    <w:p w14:paraId="4637EAA5" w14:textId="77777777" w:rsidR="00581942" w:rsidRPr="004613F9" w:rsidRDefault="00581942" w:rsidP="003F099E">
      <w:pPr>
        <w:spacing w:before="240"/>
      </w:pPr>
    </w:p>
    <w:sectPr w:rsidR="00581942" w:rsidRPr="004613F9" w:rsidSect="00EC00FF">
      <w:headerReference w:type="even" r:id="rId9"/>
      <w:headerReference w:type="default" r:id="rId10"/>
      <w:footerReference w:type="even" r:id="rId11"/>
      <w:footerReference w:type="default" r:id="rId12"/>
      <w:headerReference w:type="first" r:id="rId13"/>
      <w:footerReference w:type="first" r:id="rId14"/>
      <w:pgSz w:w="11906" w:h="16838" w:code="9"/>
      <w:pgMar w:top="1440" w:right="1304" w:bottom="1440" w:left="130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C4706" w14:textId="77777777" w:rsidR="00236F80" w:rsidRDefault="00236F80" w:rsidP="0053274B">
      <w:r>
        <w:separator/>
      </w:r>
    </w:p>
  </w:endnote>
  <w:endnote w:type="continuationSeparator" w:id="0">
    <w:p w14:paraId="6C76DAB0" w14:textId="77777777" w:rsidR="00236F80" w:rsidRDefault="00236F80" w:rsidP="0053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498D" w14:textId="77777777" w:rsidR="008376B7" w:rsidRDefault="008376B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D58C" w14:textId="77777777" w:rsidR="008376B7" w:rsidRDefault="008376B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2F6A" w14:textId="77777777" w:rsidR="008376B7" w:rsidRDefault="008376B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A1173" w14:textId="77777777" w:rsidR="00236F80" w:rsidRDefault="00236F80" w:rsidP="0053274B">
      <w:r>
        <w:separator/>
      </w:r>
    </w:p>
  </w:footnote>
  <w:footnote w:type="continuationSeparator" w:id="0">
    <w:p w14:paraId="1F436FC3" w14:textId="77777777" w:rsidR="00236F80" w:rsidRDefault="00236F80" w:rsidP="0053274B">
      <w:r>
        <w:continuationSeparator/>
      </w:r>
    </w:p>
  </w:footnote>
  <w:footnote w:id="1">
    <w:p w14:paraId="092932DF" w14:textId="3365B78C" w:rsidR="001928D0" w:rsidRDefault="001928D0">
      <w:pPr>
        <w:pStyle w:val="Fodnotetekst"/>
      </w:pPr>
      <w:r>
        <w:rPr>
          <w:rStyle w:val="Fodnotehenvisning"/>
        </w:rPr>
        <w:footnoteRef/>
      </w:r>
      <w:r>
        <w:t xml:space="preserve"> </w:t>
      </w:r>
      <w:r w:rsidRPr="00800DA4">
        <w:t>https://cites.org/sites/default/files/document/E-Res-16-07-R17.pdf</w:t>
      </w:r>
    </w:p>
  </w:footnote>
  <w:footnote w:id="2">
    <w:p w14:paraId="75E76E75" w14:textId="73CA75BE" w:rsidR="001928D0" w:rsidRDefault="001928D0">
      <w:pPr>
        <w:pStyle w:val="Fodnotetekst"/>
      </w:pPr>
      <w:r>
        <w:rPr>
          <w:rStyle w:val="Fodnotehenvisning"/>
        </w:rPr>
        <w:footnoteRef/>
      </w:r>
      <w:r>
        <w:t xml:space="preserve"> </w:t>
      </w:r>
      <w:r w:rsidRPr="00800DA4">
        <w:t>https://cites.org/eng/cop/11/info/03.pdf</w:t>
      </w:r>
    </w:p>
  </w:footnote>
  <w:footnote w:id="3">
    <w:p w14:paraId="01E04243" w14:textId="7B98BE89" w:rsidR="001928D0" w:rsidRDefault="001928D0">
      <w:pPr>
        <w:pStyle w:val="Fodnotetekst"/>
      </w:pPr>
      <w:r>
        <w:rPr>
          <w:rStyle w:val="Fodnotehenvisning"/>
        </w:rPr>
        <w:footnoteRef/>
      </w:r>
      <w:r>
        <w:t xml:space="preserve"> Marsvin, grindehval, hvidnæset delfin og spækhugger</w:t>
      </w:r>
    </w:p>
  </w:footnote>
  <w:footnote w:id="4">
    <w:p w14:paraId="10BF51DC" w14:textId="5B737DE7" w:rsidR="001928D0" w:rsidRPr="009359D3" w:rsidRDefault="001928D0">
      <w:pPr>
        <w:pStyle w:val="Fodnotetekst"/>
        <w:rPr>
          <w:lang w:val="en-US"/>
        </w:rPr>
      </w:pPr>
      <w:r>
        <w:rPr>
          <w:rStyle w:val="Fodnotehenvisning"/>
        </w:rPr>
        <w:footnoteRef/>
      </w:r>
      <w:r w:rsidRPr="009359D3">
        <w:rPr>
          <w:lang w:val="en-US"/>
        </w:rPr>
        <w:t xml:space="preserve"> </w:t>
      </w:r>
      <w:r>
        <w:rPr>
          <w:lang w:val="en-US"/>
        </w:rPr>
        <w:t>International Whaling Commission</w:t>
      </w:r>
    </w:p>
  </w:footnote>
  <w:footnote w:id="5">
    <w:p w14:paraId="135AA3D0" w14:textId="1172517B" w:rsidR="001928D0" w:rsidRPr="009359D3" w:rsidRDefault="001928D0">
      <w:pPr>
        <w:pStyle w:val="Fodnotetekst"/>
        <w:rPr>
          <w:lang w:val="en-US"/>
        </w:rPr>
      </w:pPr>
      <w:r>
        <w:rPr>
          <w:rStyle w:val="Fodnotehenvisning"/>
        </w:rPr>
        <w:footnoteRef/>
      </w:r>
      <w:r w:rsidRPr="00962901">
        <w:rPr>
          <w:lang w:val="en-US"/>
        </w:rPr>
        <w:t xml:space="preserve"> </w:t>
      </w:r>
      <w:r w:rsidRPr="009359D3">
        <w:rPr>
          <w:lang w:val="en-US"/>
        </w:rPr>
        <w:t>North Atlantic Marine Mammal Commission</w:t>
      </w:r>
    </w:p>
  </w:footnote>
  <w:footnote w:id="6">
    <w:p w14:paraId="174B2122" w14:textId="77777777" w:rsidR="001928D0" w:rsidRPr="009359D3" w:rsidRDefault="001928D0">
      <w:pPr>
        <w:pStyle w:val="Fodnotetekst"/>
        <w:rPr>
          <w:lang w:val="en-US"/>
        </w:rPr>
      </w:pPr>
      <w:r>
        <w:rPr>
          <w:rStyle w:val="Fodnotehenvisning"/>
        </w:rPr>
        <w:footnoteRef/>
      </w:r>
      <w:r w:rsidRPr="009359D3">
        <w:rPr>
          <w:lang w:val="en-US"/>
        </w:rPr>
        <w:t xml:space="preserve"> Canada</w:t>
      </w:r>
      <w:r>
        <w:rPr>
          <w:lang w:val="en-US"/>
        </w:rPr>
        <w:t xml:space="preserve"> - </w:t>
      </w:r>
      <w:r w:rsidRPr="009359D3">
        <w:rPr>
          <w:lang w:val="en-US"/>
        </w:rPr>
        <w:t xml:space="preserve">Greenland Joint Commission for </w:t>
      </w:r>
      <w:r>
        <w:rPr>
          <w:lang w:val="en-US"/>
        </w:rPr>
        <w:t>Narwhal and Beluga</w:t>
      </w:r>
      <w:r w:rsidRPr="009359D3">
        <w:rPr>
          <w:lang w:val="en-US"/>
        </w:rPr>
        <w:t xml:space="preserve"> </w:t>
      </w:r>
    </w:p>
  </w:footnote>
  <w:footnote w:id="7">
    <w:p w14:paraId="3842D32B" w14:textId="77777777" w:rsidR="001928D0" w:rsidRPr="009359D3" w:rsidRDefault="001928D0">
      <w:pPr>
        <w:pStyle w:val="Fodnotetekst"/>
        <w:rPr>
          <w:lang w:val="en-US"/>
        </w:rPr>
      </w:pPr>
      <w:r>
        <w:rPr>
          <w:rStyle w:val="Fodnotehenvisning"/>
        </w:rPr>
        <w:footnoteRef/>
      </w:r>
      <w:r w:rsidRPr="009359D3">
        <w:rPr>
          <w:lang w:val="en-US"/>
        </w:rPr>
        <w:t xml:space="preserve"> Canada – Greenland Joint Commission </w:t>
      </w:r>
      <w:r>
        <w:rPr>
          <w:lang w:val="en-US"/>
        </w:rPr>
        <w:t>for</w:t>
      </w:r>
      <w:r w:rsidRPr="009359D3">
        <w:rPr>
          <w:lang w:val="en-US"/>
        </w:rPr>
        <w:t xml:space="preserve"> Polar </w:t>
      </w:r>
      <w:r>
        <w:rPr>
          <w:lang w:val="en-US"/>
        </w:rPr>
        <w:t>Bear</w:t>
      </w:r>
    </w:p>
  </w:footnote>
  <w:footnote w:id="8">
    <w:p w14:paraId="76ABECD6" w14:textId="77777777" w:rsidR="001928D0" w:rsidRPr="009359D3" w:rsidRDefault="001928D0">
      <w:pPr>
        <w:pStyle w:val="Fodnotetekst"/>
        <w:rPr>
          <w:lang w:val="en-US"/>
        </w:rPr>
      </w:pPr>
      <w:r>
        <w:rPr>
          <w:rStyle w:val="Fodnotehenvisning"/>
        </w:rPr>
        <w:footnoteRef/>
      </w:r>
      <w:r w:rsidRPr="009359D3">
        <w:rPr>
          <w:lang w:val="en-US"/>
        </w:rPr>
        <w:t xml:space="preserve"> The Polar Bear Specialist Group under the International </w:t>
      </w:r>
      <w:r>
        <w:rPr>
          <w:lang w:val="en-US"/>
        </w:rPr>
        <w:t>Union for the Conservation of Nature</w:t>
      </w:r>
    </w:p>
  </w:footnote>
  <w:footnote w:id="9">
    <w:p w14:paraId="3CA9D43D" w14:textId="77777777" w:rsidR="001928D0" w:rsidRDefault="001928D0">
      <w:pPr>
        <w:pStyle w:val="Fodnotetekst"/>
      </w:pPr>
      <w:r>
        <w:rPr>
          <w:rStyle w:val="Fodnotehenvisning"/>
        </w:rPr>
        <w:footnoteRef/>
      </w:r>
      <w:r>
        <w:t xml:space="preserve"> Canadiske tal givet fra juli den forrige år til juni. Data for Nunavut fra Polar Bear Harvest Reports, </w:t>
      </w:r>
      <w:hyperlink r:id="rId1" w:history="1">
        <w:r w:rsidRPr="00CB0747">
          <w:rPr>
            <w:rStyle w:val="Hyperlink"/>
          </w:rPr>
          <w:t>http://www.gov.nu.ca/environnement/information/wildlife-research-reports</w:t>
        </w:r>
      </w:hyperlink>
      <w:r>
        <w:t>. Data fra 2016 ikke tilgængelig endnu</w:t>
      </w:r>
    </w:p>
  </w:footnote>
  <w:footnote w:id="10">
    <w:p w14:paraId="5A4003CC" w14:textId="77777777" w:rsidR="001928D0" w:rsidRDefault="001928D0">
      <w:pPr>
        <w:pStyle w:val="Fodnotetekst"/>
      </w:pPr>
      <w:r>
        <w:rPr>
          <w:rStyle w:val="Fodnotehenvisning"/>
        </w:rPr>
        <w:footnoteRef/>
      </w:r>
      <w:r>
        <w:t xml:space="preserve"> Fangster fra Nunavut og Quebec. Data for Quebec er baseret på frivillig afrapportering fra fangere og stammer fra: </w:t>
      </w:r>
      <w:r w:rsidRPr="00224615">
        <w:t>Ministère des Forêts, de la Faune et des Parcs</w:t>
      </w:r>
      <w:r>
        <w:t>, upubliceret.  Data fra 2016 ikke tilgængelig endnu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07AC" w14:textId="77777777" w:rsidR="008376B7" w:rsidRDefault="008376B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DB86A" w14:textId="77777777" w:rsidR="008376B7" w:rsidRDefault="008376B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EEF5" w14:textId="77777777" w:rsidR="008376B7" w:rsidRDefault="008376B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50B4"/>
    <w:multiLevelType w:val="hybridMultilevel"/>
    <w:tmpl w:val="D0CA8712"/>
    <w:lvl w:ilvl="0" w:tplc="9D8A20CE">
      <w:start w:val="20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136B7"/>
    <w:multiLevelType w:val="hybridMultilevel"/>
    <w:tmpl w:val="FBBE7442"/>
    <w:lvl w:ilvl="0" w:tplc="6E88F9BA">
      <w:start w:val="20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76FD5"/>
    <w:multiLevelType w:val="hybridMultilevel"/>
    <w:tmpl w:val="E4869DB4"/>
    <w:lvl w:ilvl="0" w:tplc="6F604F34">
      <w:start w:val="201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6448D"/>
    <w:multiLevelType w:val="hybridMultilevel"/>
    <w:tmpl w:val="BE821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A6"/>
    <w:rsid w:val="00000837"/>
    <w:rsid w:val="00003637"/>
    <w:rsid w:val="00003904"/>
    <w:rsid w:val="000078F3"/>
    <w:rsid w:val="000116AF"/>
    <w:rsid w:val="00016F22"/>
    <w:rsid w:val="00025409"/>
    <w:rsid w:val="00025B4D"/>
    <w:rsid w:val="000267F8"/>
    <w:rsid w:val="0003470E"/>
    <w:rsid w:val="0003739C"/>
    <w:rsid w:val="00045938"/>
    <w:rsid w:val="00045BEA"/>
    <w:rsid w:val="00066B5D"/>
    <w:rsid w:val="00066BE2"/>
    <w:rsid w:val="0008353B"/>
    <w:rsid w:val="00084531"/>
    <w:rsid w:val="00087A9F"/>
    <w:rsid w:val="00097534"/>
    <w:rsid w:val="000A3C1E"/>
    <w:rsid w:val="000B313D"/>
    <w:rsid w:val="000B6E91"/>
    <w:rsid w:val="000C2361"/>
    <w:rsid w:val="000D3360"/>
    <w:rsid w:val="000D6B29"/>
    <w:rsid w:val="000E3FAA"/>
    <w:rsid w:val="000F04CE"/>
    <w:rsid w:val="000F14D9"/>
    <w:rsid w:val="000F721F"/>
    <w:rsid w:val="00112F9C"/>
    <w:rsid w:val="00114912"/>
    <w:rsid w:val="0011671A"/>
    <w:rsid w:val="00122758"/>
    <w:rsid w:val="001360A7"/>
    <w:rsid w:val="00142390"/>
    <w:rsid w:val="00144C5C"/>
    <w:rsid w:val="0014590A"/>
    <w:rsid w:val="00152B25"/>
    <w:rsid w:val="00165A22"/>
    <w:rsid w:val="00165C2D"/>
    <w:rsid w:val="00170AC6"/>
    <w:rsid w:val="00180E99"/>
    <w:rsid w:val="001811D7"/>
    <w:rsid w:val="00184813"/>
    <w:rsid w:val="001928D0"/>
    <w:rsid w:val="00194A15"/>
    <w:rsid w:val="001A23D8"/>
    <w:rsid w:val="001A7735"/>
    <w:rsid w:val="001B26D4"/>
    <w:rsid w:val="001B434E"/>
    <w:rsid w:val="001C369E"/>
    <w:rsid w:val="001D0989"/>
    <w:rsid w:val="001D5500"/>
    <w:rsid w:val="001D561C"/>
    <w:rsid w:val="001E6B89"/>
    <w:rsid w:val="001E7FC6"/>
    <w:rsid w:val="001F476D"/>
    <w:rsid w:val="002000F6"/>
    <w:rsid w:val="00204C4C"/>
    <w:rsid w:val="00215161"/>
    <w:rsid w:val="00222619"/>
    <w:rsid w:val="00224615"/>
    <w:rsid w:val="00225E03"/>
    <w:rsid w:val="00230EEC"/>
    <w:rsid w:val="00236A6A"/>
    <w:rsid w:val="00236F80"/>
    <w:rsid w:val="00237052"/>
    <w:rsid w:val="00241C5C"/>
    <w:rsid w:val="00255F10"/>
    <w:rsid w:val="00256834"/>
    <w:rsid w:val="00261376"/>
    <w:rsid w:val="002616BD"/>
    <w:rsid w:val="00263504"/>
    <w:rsid w:val="002659D3"/>
    <w:rsid w:val="00271225"/>
    <w:rsid w:val="00274751"/>
    <w:rsid w:val="00274BE1"/>
    <w:rsid w:val="002775AE"/>
    <w:rsid w:val="0028232A"/>
    <w:rsid w:val="002824FD"/>
    <w:rsid w:val="002832C8"/>
    <w:rsid w:val="00292112"/>
    <w:rsid w:val="00297CE3"/>
    <w:rsid w:val="002A07B4"/>
    <w:rsid w:val="002C3256"/>
    <w:rsid w:val="002C3719"/>
    <w:rsid w:val="002C57F8"/>
    <w:rsid w:val="002C6823"/>
    <w:rsid w:val="002C782E"/>
    <w:rsid w:val="002D5D38"/>
    <w:rsid w:val="002E11E7"/>
    <w:rsid w:val="002E2A20"/>
    <w:rsid w:val="002E32D8"/>
    <w:rsid w:val="002E4EB8"/>
    <w:rsid w:val="002E72BC"/>
    <w:rsid w:val="002F03B8"/>
    <w:rsid w:val="002F1F81"/>
    <w:rsid w:val="00313A04"/>
    <w:rsid w:val="00315D28"/>
    <w:rsid w:val="003264B2"/>
    <w:rsid w:val="00334B44"/>
    <w:rsid w:val="003414F0"/>
    <w:rsid w:val="00341EA6"/>
    <w:rsid w:val="00344338"/>
    <w:rsid w:val="003463B9"/>
    <w:rsid w:val="00352475"/>
    <w:rsid w:val="003602D8"/>
    <w:rsid w:val="0036288D"/>
    <w:rsid w:val="00375B8E"/>
    <w:rsid w:val="00384321"/>
    <w:rsid w:val="0038592D"/>
    <w:rsid w:val="00390E2A"/>
    <w:rsid w:val="003971D3"/>
    <w:rsid w:val="003A388B"/>
    <w:rsid w:val="003B5F04"/>
    <w:rsid w:val="003B6D4A"/>
    <w:rsid w:val="003C0B24"/>
    <w:rsid w:val="003C4BA4"/>
    <w:rsid w:val="003C7BB1"/>
    <w:rsid w:val="003D1065"/>
    <w:rsid w:val="003D376D"/>
    <w:rsid w:val="003D5AB9"/>
    <w:rsid w:val="003E1ACF"/>
    <w:rsid w:val="003E3FCB"/>
    <w:rsid w:val="003E51FC"/>
    <w:rsid w:val="003E6C34"/>
    <w:rsid w:val="003F099E"/>
    <w:rsid w:val="003F0EE5"/>
    <w:rsid w:val="00400C25"/>
    <w:rsid w:val="00403AC4"/>
    <w:rsid w:val="0041617C"/>
    <w:rsid w:val="0041631C"/>
    <w:rsid w:val="00450831"/>
    <w:rsid w:val="00456C72"/>
    <w:rsid w:val="004613F9"/>
    <w:rsid w:val="00464B20"/>
    <w:rsid w:val="00470252"/>
    <w:rsid w:val="00475036"/>
    <w:rsid w:val="00484CBC"/>
    <w:rsid w:val="004933E1"/>
    <w:rsid w:val="004A115B"/>
    <w:rsid w:val="004B0C6F"/>
    <w:rsid w:val="004B77E9"/>
    <w:rsid w:val="004C7960"/>
    <w:rsid w:val="004D7491"/>
    <w:rsid w:val="004E51C2"/>
    <w:rsid w:val="004E6CE0"/>
    <w:rsid w:val="004F7224"/>
    <w:rsid w:val="0050591F"/>
    <w:rsid w:val="00506AA0"/>
    <w:rsid w:val="005179FB"/>
    <w:rsid w:val="00517EE1"/>
    <w:rsid w:val="00525A4E"/>
    <w:rsid w:val="0053274B"/>
    <w:rsid w:val="00540392"/>
    <w:rsid w:val="00543782"/>
    <w:rsid w:val="00546B45"/>
    <w:rsid w:val="00561960"/>
    <w:rsid w:val="005631A1"/>
    <w:rsid w:val="005661B4"/>
    <w:rsid w:val="00572764"/>
    <w:rsid w:val="005743F2"/>
    <w:rsid w:val="00581942"/>
    <w:rsid w:val="00585FD2"/>
    <w:rsid w:val="00586CDD"/>
    <w:rsid w:val="0058745D"/>
    <w:rsid w:val="005904AC"/>
    <w:rsid w:val="00594A7C"/>
    <w:rsid w:val="005A27BA"/>
    <w:rsid w:val="005A6B66"/>
    <w:rsid w:val="005B3CDF"/>
    <w:rsid w:val="005B5ED4"/>
    <w:rsid w:val="005B6164"/>
    <w:rsid w:val="005D1CE2"/>
    <w:rsid w:val="005D2713"/>
    <w:rsid w:val="005D57A9"/>
    <w:rsid w:val="005F32C6"/>
    <w:rsid w:val="00601AB3"/>
    <w:rsid w:val="0060409E"/>
    <w:rsid w:val="00640D1A"/>
    <w:rsid w:val="00642AB0"/>
    <w:rsid w:val="006463A2"/>
    <w:rsid w:val="00646F59"/>
    <w:rsid w:val="00646F9B"/>
    <w:rsid w:val="00650773"/>
    <w:rsid w:val="00666B39"/>
    <w:rsid w:val="006707F3"/>
    <w:rsid w:val="006827FA"/>
    <w:rsid w:val="00686285"/>
    <w:rsid w:val="006A0F3E"/>
    <w:rsid w:val="006A326D"/>
    <w:rsid w:val="006A72C6"/>
    <w:rsid w:val="006C2AE7"/>
    <w:rsid w:val="006C49AF"/>
    <w:rsid w:val="006D2101"/>
    <w:rsid w:val="006F2A49"/>
    <w:rsid w:val="006F65BA"/>
    <w:rsid w:val="006F771E"/>
    <w:rsid w:val="00700E89"/>
    <w:rsid w:val="007056C1"/>
    <w:rsid w:val="00717C0A"/>
    <w:rsid w:val="007254AB"/>
    <w:rsid w:val="00743AE9"/>
    <w:rsid w:val="00746184"/>
    <w:rsid w:val="00754EE9"/>
    <w:rsid w:val="00757377"/>
    <w:rsid w:val="00760D31"/>
    <w:rsid w:val="007639F5"/>
    <w:rsid w:val="00784D57"/>
    <w:rsid w:val="00791AF3"/>
    <w:rsid w:val="00791C0B"/>
    <w:rsid w:val="007923B4"/>
    <w:rsid w:val="007927BD"/>
    <w:rsid w:val="007A0264"/>
    <w:rsid w:val="007A09F8"/>
    <w:rsid w:val="007A25D8"/>
    <w:rsid w:val="007D1228"/>
    <w:rsid w:val="007E0DFA"/>
    <w:rsid w:val="007E220C"/>
    <w:rsid w:val="007E3A94"/>
    <w:rsid w:val="007E5BFD"/>
    <w:rsid w:val="007F3436"/>
    <w:rsid w:val="00800DA4"/>
    <w:rsid w:val="00801054"/>
    <w:rsid w:val="008015D1"/>
    <w:rsid w:val="008039BD"/>
    <w:rsid w:val="00805CAC"/>
    <w:rsid w:val="008068BA"/>
    <w:rsid w:val="00811692"/>
    <w:rsid w:val="00816D63"/>
    <w:rsid w:val="008212AB"/>
    <w:rsid w:val="008251A5"/>
    <w:rsid w:val="008376B7"/>
    <w:rsid w:val="008378CF"/>
    <w:rsid w:val="00847B26"/>
    <w:rsid w:val="00856A76"/>
    <w:rsid w:val="00860011"/>
    <w:rsid w:val="00871F80"/>
    <w:rsid w:val="008735D0"/>
    <w:rsid w:val="00877B5D"/>
    <w:rsid w:val="00877DDF"/>
    <w:rsid w:val="008857A7"/>
    <w:rsid w:val="00893BC8"/>
    <w:rsid w:val="008A642C"/>
    <w:rsid w:val="008B11BB"/>
    <w:rsid w:val="008B2082"/>
    <w:rsid w:val="008B61D6"/>
    <w:rsid w:val="008B6CB8"/>
    <w:rsid w:val="008D34B5"/>
    <w:rsid w:val="008D7F04"/>
    <w:rsid w:val="008E61F3"/>
    <w:rsid w:val="008F482E"/>
    <w:rsid w:val="009043BC"/>
    <w:rsid w:val="00915DF8"/>
    <w:rsid w:val="00920BF6"/>
    <w:rsid w:val="009212D1"/>
    <w:rsid w:val="00921D94"/>
    <w:rsid w:val="009359D3"/>
    <w:rsid w:val="0095484F"/>
    <w:rsid w:val="009548BA"/>
    <w:rsid w:val="00962901"/>
    <w:rsid w:val="0096360D"/>
    <w:rsid w:val="009748A8"/>
    <w:rsid w:val="00976642"/>
    <w:rsid w:val="00983F4B"/>
    <w:rsid w:val="00986A65"/>
    <w:rsid w:val="00993AAB"/>
    <w:rsid w:val="009965FC"/>
    <w:rsid w:val="009A6879"/>
    <w:rsid w:val="009B15E9"/>
    <w:rsid w:val="009B4C6D"/>
    <w:rsid w:val="009B6D6B"/>
    <w:rsid w:val="009C0510"/>
    <w:rsid w:val="009C3924"/>
    <w:rsid w:val="009C5671"/>
    <w:rsid w:val="009D6CEA"/>
    <w:rsid w:val="009E1D85"/>
    <w:rsid w:val="009F72ED"/>
    <w:rsid w:val="00A06FEF"/>
    <w:rsid w:val="00A14CE9"/>
    <w:rsid w:val="00A325A5"/>
    <w:rsid w:val="00A36220"/>
    <w:rsid w:val="00A55B9C"/>
    <w:rsid w:val="00A77EC6"/>
    <w:rsid w:val="00A83EBC"/>
    <w:rsid w:val="00AA35EC"/>
    <w:rsid w:val="00AB1E87"/>
    <w:rsid w:val="00AB2EFF"/>
    <w:rsid w:val="00AD6D1A"/>
    <w:rsid w:val="00AE3D16"/>
    <w:rsid w:val="00AF03C3"/>
    <w:rsid w:val="00AF1473"/>
    <w:rsid w:val="00AF2D41"/>
    <w:rsid w:val="00AF3BED"/>
    <w:rsid w:val="00B00B6C"/>
    <w:rsid w:val="00B06156"/>
    <w:rsid w:val="00B270BB"/>
    <w:rsid w:val="00B41DED"/>
    <w:rsid w:val="00B4537D"/>
    <w:rsid w:val="00B51C8F"/>
    <w:rsid w:val="00B66B0E"/>
    <w:rsid w:val="00B734B5"/>
    <w:rsid w:val="00B77D6A"/>
    <w:rsid w:val="00B9058D"/>
    <w:rsid w:val="00BA2342"/>
    <w:rsid w:val="00BB16F7"/>
    <w:rsid w:val="00BB208C"/>
    <w:rsid w:val="00BC29BC"/>
    <w:rsid w:val="00BE0F62"/>
    <w:rsid w:val="00BF71BC"/>
    <w:rsid w:val="00C12A7D"/>
    <w:rsid w:val="00C2167B"/>
    <w:rsid w:val="00C22D57"/>
    <w:rsid w:val="00C22F9F"/>
    <w:rsid w:val="00C24E8D"/>
    <w:rsid w:val="00C255F4"/>
    <w:rsid w:val="00C27A0E"/>
    <w:rsid w:val="00C405A7"/>
    <w:rsid w:val="00C41F13"/>
    <w:rsid w:val="00C42E35"/>
    <w:rsid w:val="00C45A21"/>
    <w:rsid w:val="00C66DB2"/>
    <w:rsid w:val="00C71981"/>
    <w:rsid w:val="00C95092"/>
    <w:rsid w:val="00C9784E"/>
    <w:rsid w:val="00CA0E01"/>
    <w:rsid w:val="00CB4F47"/>
    <w:rsid w:val="00CC4EF3"/>
    <w:rsid w:val="00CD233C"/>
    <w:rsid w:val="00CD2600"/>
    <w:rsid w:val="00CD4DD4"/>
    <w:rsid w:val="00CE19B7"/>
    <w:rsid w:val="00CE5F8A"/>
    <w:rsid w:val="00CF01E0"/>
    <w:rsid w:val="00CF1C3E"/>
    <w:rsid w:val="00D064C6"/>
    <w:rsid w:val="00D07419"/>
    <w:rsid w:val="00D22AB8"/>
    <w:rsid w:val="00D2453E"/>
    <w:rsid w:val="00D24A04"/>
    <w:rsid w:val="00D40874"/>
    <w:rsid w:val="00D42505"/>
    <w:rsid w:val="00D4742F"/>
    <w:rsid w:val="00D52982"/>
    <w:rsid w:val="00D82243"/>
    <w:rsid w:val="00D93877"/>
    <w:rsid w:val="00DA0124"/>
    <w:rsid w:val="00DA42AD"/>
    <w:rsid w:val="00DB19D4"/>
    <w:rsid w:val="00DB22DE"/>
    <w:rsid w:val="00DB422C"/>
    <w:rsid w:val="00DC3288"/>
    <w:rsid w:val="00DC7C95"/>
    <w:rsid w:val="00DD07C1"/>
    <w:rsid w:val="00DD1D30"/>
    <w:rsid w:val="00DD1DFF"/>
    <w:rsid w:val="00DF62A7"/>
    <w:rsid w:val="00E06273"/>
    <w:rsid w:val="00E13002"/>
    <w:rsid w:val="00E14DE3"/>
    <w:rsid w:val="00E268E1"/>
    <w:rsid w:val="00E542A2"/>
    <w:rsid w:val="00E56F11"/>
    <w:rsid w:val="00E67410"/>
    <w:rsid w:val="00E80520"/>
    <w:rsid w:val="00E81278"/>
    <w:rsid w:val="00E935FC"/>
    <w:rsid w:val="00E939BA"/>
    <w:rsid w:val="00EA02BF"/>
    <w:rsid w:val="00EA2E29"/>
    <w:rsid w:val="00EA3256"/>
    <w:rsid w:val="00EA4555"/>
    <w:rsid w:val="00EA4C8A"/>
    <w:rsid w:val="00EB1651"/>
    <w:rsid w:val="00EB44E8"/>
    <w:rsid w:val="00EC00FF"/>
    <w:rsid w:val="00EC15E3"/>
    <w:rsid w:val="00EC2C5E"/>
    <w:rsid w:val="00EC5CCF"/>
    <w:rsid w:val="00EC71B7"/>
    <w:rsid w:val="00ED1F02"/>
    <w:rsid w:val="00EE34F9"/>
    <w:rsid w:val="00EF452B"/>
    <w:rsid w:val="00F1475B"/>
    <w:rsid w:val="00F237FA"/>
    <w:rsid w:val="00F2595D"/>
    <w:rsid w:val="00F30F41"/>
    <w:rsid w:val="00F3107E"/>
    <w:rsid w:val="00F471AD"/>
    <w:rsid w:val="00F658AD"/>
    <w:rsid w:val="00F67046"/>
    <w:rsid w:val="00F91CC0"/>
    <w:rsid w:val="00F940E5"/>
    <w:rsid w:val="00F97658"/>
    <w:rsid w:val="00F97725"/>
    <w:rsid w:val="00FC132A"/>
    <w:rsid w:val="00FC2D49"/>
    <w:rsid w:val="00FF3B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24CA78"/>
  <w15:docId w15:val="{0750EEA2-7853-43D5-B544-9C9CA2F2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FF"/>
    <w:pPr>
      <w:spacing w:after="0" w:line="240" w:lineRule="auto"/>
    </w:pPr>
    <w:rPr>
      <w:rFonts w:ascii="Times New Roman" w:eastAsia="Times New Roman" w:hAnsi="Times New Roman" w:cs="Times New Roman"/>
      <w:sz w:val="24"/>
      <w:szCs w:val="20"/>
      <w:lang w:val="da-DK" w:eastAsia="da-DK"/>
    </w:rPr>
  </w:style>
  <w:style w:type="paragraph" w:styleId="Overskrift1">
    <w:name w:val="heading 1"/>
    <w:basedOn w:val="Normal"/>
    <w:next w:val="Normal"/>
    <w:link w:val="Overskrift1Tegn"/>
    <w:uiPriority w:val="9"/>
    <w:qFormat/>
    <w:rsid w:val="00EC00FF"/>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Overskrift2">
    <w:name w:val="heading 2"/>
    <w:basedOn w:val="Normal"/>
    <w:next w:val="Normal"/>
    <w:link w:val="Overskrift2Tegn"/>
    <w:uiPriority w:val="9"/>
    <w:semiHidden/>
    <w:unhideWhenUsed/>
    <w:qFormat/>
    <w:rsid w:val="006A72C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341EA6"/>
    <w:pPr>
      <w:spacing w:after="0" w:line="240" w:lineRule="auto"/>
    </w:pPr>
    <w:rPr>
      <w:rFonts w:eastAsiaTheme="minorEastAsia"/>
      <w:lang w:val="en-US"/>
    </w:rPr>
  </w:style>
  <w:style w:type="character" w:customStyle="1" w:styleId="IngenafstandTegn">
    <w:name w:val="Ingen afstand Tegn"/>
    <w:basedOn w:val="Standardskrifttypeiafsnit"/>
    <w:link w:val="Ingenafstand"/>
    <w:uiPriority w:val="1"/>
    <w:rsid w:val="00341EA6"/>
    <w:rPr>
      <w:rFonts w:eastAsiaTheme="minorEastAsia"/>
      <w:lang w:val="en-US"/>
    </w:rPr>
  </w:style>
  <w:style w:type="paragraph" w:styleId="Markeringsbobletekst">
    <w:name w:val="Balloon Text"/>
    <w:basedOn w:val="Normal"/>
    <w:link w:val="MarkeringsbobletekstTegn"/>
    <w:uiPriority w:val="99"/>
    <w:semiHidden/>
    <w:unhideWhenUsed/>
    <w:rsid w:val="00341EA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41EA6"/>
    <w:rPr>
      <w:rFonts w:ascii="Tahoma" w:eastAsia="Times New Roman" w:hAnsi="Tahoma" w:cs="Tahoma"/>
      <w:sz w:val="16"/>
      <w:szCs w:val="16"/>
      <w:lang w:val="da-DK" w:eastAsia="da-DK"/>
    </w:rPr>
  </w:style>
  <w:style w:type="character" w:customStyle="1" w:styleId="Overskrift1Tegn">
    <w:name w:val="Overskrift 1 Tegn"/>
    <w:basedOn w:val="Standardskrifttypeiafsnit"/>
    <w:link w:val="Overskrift1"/>
    <w:uiPriority w:val="9"/>
    <w:rsid w:val="00EC00FF"/>
    <w:rPr>
      <w:rFonts w:asciiTheme="majorHAnsi" w:eastAsiaTheme="majorEastAsia" w:hAnsiTheme="majorHAnsi" w:cstheme="majorBidi"/>
      <w:b/>
      <w:bCs/>
      <w:color w:val="365F91" w:themeColor="accent1" w:themeShade="BF"/>
      <w:sz w:val="32"/>
      <w:szCs w:val="28"/>
      <w:lang w:val="da-DK" w:eastAsia="da-DK"/>
    </w:rPr>
  </w:style>
  <w:style w:type="paragraph" w:styleId="Titel">
    <w:name w:val="Title"/>
    <w:basedOn w:val="Normal"/>
    <w:next w:val="Normal"/>
    <w:link w:val="TitelTegn"/>
    <w:uiPriority w:val="10"/>
    <w:qFormat/>
    <w:rsid w:val="00EC00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C00FF"/>
    <w:rPr>
      <w:rFonts w:asciiTheme="majorHAnsi" w:eastAsiaTheme="majorEastAsia" w:hAnsiTheme="majorHAnsi" w:cstheme="majorBidi"/>
      <w:color w:val="17365D" w:themeColor="text2" w:themeShade="BF"/>
      <w:spacing w:val="5"/>
      <w:kern w:val="28"/>
      <w:sz w:val="52"/>
      <w:szCs w:val="52"/>
      <w:lang w:val="da-DK" w:eastAsia="da-DK"/>
    </w:rPr>
  </w:style>
  <w:style w:type="table" w:styleId="Mediumliste2-fremhvningsfarve1">
    <w:name w:val="Medium List 2 Accent 1"/>
    <w:basedOn w:val="Tabel-Normal"/>
    <w:uiPriority w:val="66"/>
    <w:rsid w:val="002E11E7"/>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ysskygge-farve1">
    <w:name w:val="Light Shading Accent 1"/>
    <w:basedOn w:val="Tabel-Normal"/>
    <w:uiPriority w:val="60"/>
    <w:rsid w:val="00D074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eafsnit">
    <w:name w:val="List Paragraph"/>
    <w:basedOn w:val="Normal"/>
    <w:uiPriority w:val="34"/>
    <w:qFormat/>
    <w:rsid w:val="00255F10"/>
    <w:pPr>
      <w:ind w:left="720"/>
      <w:contextualSpacing/>
    </w:pPr>
  </w:style>
  <w:style w:type="character" w:styleId="Kommentarhenvisning">
    <w:name w:val="annotation reference"/>
    <w:basedOn w:val="Standardskrifttypeiafsnit"/>
    <w:uiPriority w:val="99"/>
    <w:semiHidden/>
    <w:unhideWhenUsed/>
    <w:rsid w:val="00066B5D"/>
    <w:rPr>
      <w:sz w:val="18"/>
      <w:szCs w:val="18"/>
    </w:rPr>
  </w:style>
  <w:style w:type="paragraph" w:styleId="Kommentartekst">
    <w:name w:val="annotation text"/>
    <w:basedOn w:val="Normal"/>
    <w:link w:val="KommentartekstTegn"/>
    <w:uiPriority w:val="99"/>
    <w:semiHidden/>
    <w:unhideWhenUsed/>
    <w:rsid w:val="00066B5D"/>
    <w:rPr>
      <w:szCs w:val="24"/>
    </w:rPr>
  </w:style>
  <w:style w:type="character" w:customStyle="1" w:styleId="KommentartekstTegn">
    <w:name w:val="Kommentartekst Tegn"/>
    <w:basedOn w:val="Standardskrifttypeiafsnit"/>
    <w:link w:val="Kommentartekst"/>
    <w:uiPriority w:val="99"/>
    <w:semiHidden/>
    <w:rsid w:val="00066B5D"/>
    <w:rPr>
      <w:rFonts w:ascii="Times New Roman" w:eastAsia="Times New Roman" w:hAnsi="Times New Roman" w:cs="Times New Roman"/>
      <w:sz w:val="24"/>
      <w:szCs w:val="24"/>
      <w:lang w:val="da-DK" w:eastAsia="da-DK"/>
    </w:rPr>
  </w:style>
  <w:style w:type="paragraph" w:styleId="Kommentaremne">
    <w:name w:val="annotation subject"/>
    <w:basedOn w:val="Kommentartekst"/>
    <w:next w:val="Kommentartekst"/>
    <w:link w:val="KommentaremneTegn"/>
    <w:uiPriority w:val="99"/>
    <w:semiHidden/>
    <w:unhideWhenUsed/>
    <w:rsid w:val="00066B5D"/>
    <w:rPr>
      <w:b/>
      <w:bCs/>
      <w:sz w:val="20"/>
      <w:szCs w:val="20"/>
    </w:rPr>
  </w:style>
  <w:style w:type="character" w:customStyle="1" w:styleId="KommentaremneTegn">
    <w:name w:val="Kommentaremne Tegn"/>
    <w:basedOn w:val="KommentartekstTegn"/>
    <w:link w:val="Kommentaremne"/>
    <w:uiPriority w:val="99"/>
    <w:semiHidden/>
    <w:rsid w:val="00066B5D"/>
    <w:rPr>
      <w:rFonts w:ascii="Times New Roman" w:eastAsia="Times New Roman" w:hAnsi="Times New Roman" w:cs="Times New Roman"/>
      <w:b/>
      <w:bCs/>
      <w:sz w:val="20"/>
      <w:szCs w:val="20"/>
      <w:lang w:val="da-DK" w:eastAsia="da-DK"/>
    </w:rPr>
  </w:style>
  <w:style w:type="paragraph" w:styleId="Fodnotetekst">
    <w:name w:val="footnote text"/>
    <w:basedOn w:val="Normal"/>
    <w:link w:val="FodnotetekstTegn"/>
    <w:uiPriority w:val="99"/>
    <w:semiHidden/>
    <w:unhideWhenUsed/>
    <w:rsid w:val="0053274B"/>
    <w:rPr>
      <w:sz w:val="20"/>
    </w:rPr>
  </w:style>
  <w:style w:type="character" w:customStyle="1" w:styleId="FodnotetekstTegn">
    <w:name w:val="Fodnotetekst Tegn"/>
    <w:basedOn w:val="Standardskrifttypeiafsnit"/>
    <w:link w:val="Fodnotetekst"/>
    <w:uiPriority w:val="99"/>
    <w:semiHidden/>
    <w:rsid w:val="0053274B"/>
    <w:rPr>
      <w:rFonts w:ascii="Times New Roman" w:eastAsia="Times New Roman" w:hAnsi="Times New Roman" w:cs="Times New Roman"/>
      <w:sz w:val="20"/>
      <w:szCs w:val="20"/>
      <w:lang w:val="da-DK" w:eastAsia="da-DK"/>
    </w:rPr>
  </w:style>
  <w:style w:type="character" w:styleId="Fodnotehenvisning">
    <w:name w:val="footnote reference"/>
    <w:basedOn w:val="Standardskrifttypeiafsnit"/>
    <w:uiPriority w:val="99"/>
    <w:semiHidden/>
    <w:unhideWhenUsed/>
    <w:rsid w:val="0053274B"/>
    <w:rPr>
      <w:vertAlign w:val="superscript"/>
    </w:rPr>
  </w:style>
  <w:style w:type="table" w:styleId="Tabel-Gitter">
    <w:name w:val="Table Grid"/>
    <w:basedOn w:val="Tabel-Normal"/>
    <w:uiPriority w:val="59"/>
    <w:rsid w:val="0011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86A65"/>
    <w:pPr>
      <w:tabs>
        <w:tab w:val="center" w:pos="4680"/>
        <w:tab w:val="right" w:pos="9360"/>
      </w:tabs>
    </w:pPr>
  </w:style>
  <w:style w:type="character" w:customStyle="1" w:styleId="SidehovedTegn">
    <w:name w:val="Sidehoved Tegn"/>
    <w:basedOn w:val="Standardskrifttypeiafsnit"/>
    <w:link w:val="Sidehoved"/>
    <w:uiPriority w:val="99"/>
    <w:rsid w:val="00986A65"/>
    <w:rPr>
      <w:rFonts w:ascii="Times New Roman" w:eastAsia="Times New Roman" w:hAnsi="Times New Roman" w:cs="Times New Roman"/>
      <w:sz w:val="24"/>
      <w:szCs w:val="20"/>
      <w:lang w:val="da-DK" w:eastAsia="da-DK"/>
    </w:rPr>
  </w:style>
  <w:style w:type="paragraph" w:styleId="Sidefod">
    <w:name w:val="footer"/>
    <w:basedOn w:val="Normal"/>
    <w:link w:val="SidefodTegn"/>
    <w:uiPriority w:val="99"/>
    <w:unhideWhenUsed/>
    <w:rsid w:val="00986A65"/>
    <w:pPr>
      <w:tabs>
        <w:tab w:val="center" w:pos="4680"/>
        <w:tab w:val="right" w:pos="9360"/>
      </w:tabs>
    </w:pPr>
  </w:style>
  <w:style w:type="character" w:customStyle="1" w:styleId="SidefodTegn">
    <w:name w:val="Sidefod Tegn"/>
    <w:basedOn w:val="Standardskrifttypeiafsnit"/>
    <w:link w:val="Sidefod"/>
    <w:uiPriority w:val="99"/>
    <w:rsid w:val="00986A65"/>
    <w:rPr>
      <w:rFonts w:ascii="Times New Roman" w:eastAsia="Times New Roman" w:hAnsi="Times New Roman" w:cs="Times New Roman"/>
      <w:sz w:val="24"/>
      <w:szCs w:val="20"/>
      <w:lang w:val="da-DK" w:eastAsia="da-DK"/>
    </w:rPr>
  </w:style>
  <w:style w:type="character" w:styleId="Hyperlink">
    <w:name w:val="Hyperlink"/>
    <w:basedOn w:val="Standardskrifttypeiafsnit"/>
    <w:uiPriority w:val="99"/>
    <w:unhideWhenUsed/>
    <w:rsid w:val="00DF62A7"/>
    <w:rPr>
      <w:color w:val="0000FF" w:themeColor="hyperlink"/>
      <w:u w:val="single"/>
    </w:rPr>
  </w:style>
  <w:style w:type="character" w:customStyle="1" w:styleId="Overskrift2Tegn">
    <w:name w:val="Overskrift 2 Tegn"/>
    <w:basedOn w:val="Standardskrifttypeiafsnit"/>
    <w:link w:val="Overskrift2"/>
    <w:uiPriority w:val="9"/>
    <w:semiHidden/>
    <w:rsid w:val="006A72C6"/>
    <w:rPr>
      <w:rFonts w:asciiTheme="majorHAnsi" w:eastAsiaTheme="majorEastAsia" w:hAnsiTheme="majorHAnsi" w:cstheme="majorBidi"/>
      <w:color w:val="365F91" w:themeColor="accent1" w:themeShade="BF"/>
      <w:sz w:val="26"/>
      <w:szCs w:val="26"/>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7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gov.nu.ca/environnement/information/wildlife-research-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84272-479B-47B8-BD78-917CE0C2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2357</Words>
  <Characters>13438</Characters>
  <Application>Microsoft Office Word</Application>
  <DocSecurity>4</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CITES non detriment findings</vt:lpstr>
      <vt:lpstr>CITES non detriment findings</vt:lpstr>
    </vt:vector>
  </TitlesOfParts>
  <Company>Kalaallit Nunaanni Namminersorlutik Oqartussat</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CITES non detriment findings</dc:title>
  <dc:subject>for havpattedyr i Grønland 2017</dc:subject>
  <dc:creator>Lars Witting</dc:creator>
  <cp:lastModifiedBy>Fernando Ugarte</cp:lastModifiedBy>
  <cp:revision>2</cp:revision>
  <cp:lastPrinted>2016-03-08T14:45:00Z</cp:lastPrinted>
  <dcterms:created xsi:type="dcterms:W3CDTF">2017-06-06T15:43:00Z</dcterms:created>
  <dcterms:modified xsi:type="dcterms:W3CDTF">2017-06-06T15:43:00Z</dcterms:modified>
</cp:coreProperties>
</file>